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D3" w:rsidRPr="00C80B41" w:rsidRDefault="007D1167">
      <w:pPr>
        <w:rPr>
          <w:rFonts w:ascii="黑体" w:eastAsia="黑体" w:hAnsi="黑体"/>
          <w:sz w:val="32"/>
          <w:szCs w:val="32"/>
        </w:rPr>
      </w:pPr>
      <w:bookmarkStart w:id="0" w:name="_GoBack"/>
      <w:bookmarkEnd w:id="0"/>
      <w:r w:rsidRPr="00C80B41">
        <w:rPr>
          <w:rFonts w:ascii="黑体" w:eastAsia="黑体" w:hAnsi="黑体" w:hint="eastAsia"/>
          <w:sz w:val="32"/>
          <w:szCs w:val="32"/>
        </w:rPr>
        <w:t>附件</w:t>
      </w:r>
    </w:p>
    <w:p w:rsidR="00A62FD3" w:rsidRPr="00C80B41" w:rsidRDefault="007D1167">
      <w:pPr>
        <w:jc w:val="center"/>
        <w:rPr>
          <w:rFonts w:ascii="小标宋" w:eastAsia="小标宋" w:hAnsi="宋体" w:cs="宋体"/>
          <w:color w:val="0D0D0D"/>
          <w:sz w:val="36"/>
          <w:szCs w:val="36"/>
          <w:shd w:val="clear" w:color="auto" w:fill="FFFFFF"/>
        </w:rPr>
      </w:pPr>
      <w:r w:rsidRPr="00C80B41">
        <w:rPr>
          <w:rFonts w:ascii="小标宋" w:eastAsia="小标宋" w:hAnsi="宋体" w:cs="宋体" w:hint="eastAsia"/>
          <w:color w:val="0D0D0D"/>
          <w:sz w:val="36"/>
          <w:szCs w:val="36"/>
          <w:shd w:val="clear" w:color="auto" w:fill="FFFFFF"/>
        </w:rPr>
        <w:t>采矿权出让收益评估报告论证情况</w:t>
      </w:r>
    </w:p>
    <w:tbl>
      <w:tblPr>
        <w:tblStyle w:val="a4"/>
        <w:tblW w:w="0" w:type="auto"/>
        <w:tblLook w:val="04A0" w:firstRow="1" w:lastRow="0" w:firstColumn="1" w:lastColumn="0" w:noHBand="0" w:noVBand="1"/>
      </w:tblPr>
      <w:tblGrid>
        <w:gridCol w:w="875"/>
        <w:gridCol w:w="2204"/>
        <w:gridCol w:w="1932"/>
        <w:gridCol w:w="1320"/>
        <w:gridCol w:w="2191"/>
      </w:tblGrid>
      <w:tr w:rsidR="00A62FD3">
        <w:trPr>
          <w:trHeight w:val="986"/>
        </w:trPr>
        <w:tc>
          <w:tcPr>
            <w:tcW w:w="875" w:type="dxa"/>
            <w:vAlign w:val="center"/>
          </w:tcPr>
          <w:p w:rsidR="00A62FD3" w:rsidRDefault="007D1167">
            <w:pPr>
              <w:pStyle w:val="a3"/>
              <w:widowControl/>
              <w:spacing w:beforeAutospacing="0" w:afterAutospacing="0"/>
              <w:jc w:val="center"/>
              <w:rPr>
                <w:rFonts w:ascii="宋体" w:eastAsia="宋体" w:hAnsi="宋体" w:cs="宋体"/>
                <w:bCs/>
                <w:color w:val="0D0D0D"/>
                <w:shd w:val="clear" w:color="auto" w:fill="FFFFFF"/>
              </w:rPr>
            </w:pPr>
            <w:r>
              <w:rPr>
                <w:rFonts w:ascii="宋体" w:eastAsia="宋体" w:hAnsi="宋体" w:cs="宋体" w:hint="eastAsia"/>
                <w:bCs/>
                <w:color w:val="0D0D0D"/>
              </w:rPr>
              <w:t>序号</w:t>
            </w:r>
          </w:p>
        </w:tc>
        <w:tc>
          <w:tcPr>
            <w:tcW w:w="2204" w:type="dxa"/>
            <w:vAlign w:val="center"/>
          </w:tcPr>
          <w:p w:rsidR="00A62FD3" w:rsidRDefault="007D1167">
            <w:pPr>
              <w:pStyle w:val="a3"/>
              <w:widowControl/>
              <w:spacing w:beforeAutospacing="0" w:afterAutospacing="0"/>
              <w:jc w:val="center"/>
              <w:rPr>
                <w:rFonts w:ascii="宋体" w:eastAsia="宋体" w:hAnsi="宋体" w:cs="宋体"/>
                <w:bCs/>
                <w:color w:val="0D0D0D"/>
                <w:shd w:val="clear" w:color="auto" w:fill="FFFFFF"/>
              </w:rPr>
            </w:pPr>
            <w:r>
              <w:rPr>
                <w:rFonts w:ascii="宋体" w:eastAsia="宋体" w:hAnsi="宋体" w:cs="宋体" w:hint="eastAsia"/>
                <w:bCs/>
                <w:color w:val="0D0D0D"/>
              </w:rPr>
              <w:t>评估报告名称</w:t>
            </w:r>
          </w:p>
        </w:tc>
        <w:tc>
          <w:tcPr>
            <w:tcW w:w="1932" w:type="dxa"/>
            <w:vAlign w:val="center"/>
          </w:tcPr>
          <w:p w:rsidR="00A62FD3" w:rsidRDefault="007D1167">
            <w:pPr>
              <w:pStyle w:val="a3"/>
              <w:widowControl/>
              <w:spacing w:beforeAutospacing="0" w:afterAutospacing="0"/>
              <w:jc w:val="center"/>
              <w:rPr>
                <w:rFonts w:ascii="宋体" w:eastAsia="宋体" w:hAnsi="宋体" w:cs="宋体"/>
                <w:bCs/>
                <w:color w:val="0D0D0D"/>
                <w:shd w:val="clear" w:color="auto" w:fill="FFFFFF"/>
              </w:rPr>
            </w:pPr>
            <w:r>
              <w:rPr>
                <w:rFonts w:ascii="宋体" w:eastAsia="宋体" w:hAnsi="宋体" w:cs="宋体" w:hint="eastAsia"/>
                <w:bCs/>
                <w:color w:val="0D0D0D"/>
              </w:rPr>
              <w:t>论证单位</w:t>
            </w:r>
          </w:p>
        </w:tc>
        <w:tc>
          <w:tcPr>
            <w:tcW w:w="1320" w:type="dxa"/>
            <w:vAlign w:val="center"/>
          </w:tcPr>
          <w:p w:rsidR="00A62FD3" w:rsidRDefault="007D1167">
            <w:pPr>
              <w:pStyle w:val="a3"/>
              <w:widowControl/>
              <w:spacing w:beforeAutospacing="0" w:afterAutospacing="0"/>
              <w:jc w:val="center"/>
              <w:rPr>
                <w:rFonts w:ascii="宋体" w:eastAsia="宋体" w:hAnsi="宋体" w:cs="宋体"/>
                <w:bCs/>
                <w:color w:val="0D0D0D"/>
                <w:shd w:val="clear" w:color="auto" w:fill="FFFFFF"/>
              </w:rPr>
            </w:pPr>
            <w:r>
              <w:rPr>
                <w:rFonts w:ascii="宋体" w:eastAsia="宋体" w:hAnsi="宋体" w:cs="宋体" w:hint="eastAsia"/>
                <w:bCs/>
                <w:color w:val="0D0D0D"/>
              </w:rPr>
              <w:t>论证结论</w:t>
            </w:r>
          </w:p>
        </w:tc>
        <w:tc>
          <w:tcPr>
            <w:tcW w:w="2191" w:type="dxa"/>
            <w:vAlign w:val="center"/>
          </w:tcPr>
          <w:p w:rsidR="00A62FD3" w:rsidRDefault="007D1167">
            <w:pPr>
              <w:pStyle w:val="a3"/>
              <w:widowControl/>
              <w:spacing w:beforeAutospacing="0" w:afterAutospacing="0"/>
              <w:jc w:val="center"/>
              <w:rPr>
                <w:rFonts w:ascii="宋体" w:eastAsia="宋体" w:hAnsi="宋体" w:cs="宋体"/>
                <w:bCs/>
                <w:color w:val="0D0D0D"/>
                <w:shd w:val="clear" w:color="auto" w:fill="FFFFFF"/>
              </w:rPr>
            </w:pPr>
            <w:r>
              <w:rPr>
                <w:rFonts w:ascii="宋体" w:eastAsia="宋体" w:hAnsi="宋体" w:cs="宋体" w:hint="eastAsia"/>
                <w:bCs/>
                <w:color w:val="0D0D0D"/>
              </w:rPr>
              <w:t>论证通过时间</w:t>
            </w:r>
          </w:p>
        </w:tc>
      </w:tr>
      <w:tr w:rsidR="00A62FD3">
        <w:trPr>
          <w:trHeight w:val="890"/>
        </w:trPr>
        <w:tc>
          <w:tcPr>
            <w:tcW w:w="875"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1</w:t>
            </w:r>
          </w:p>
        </w:tc>
        <w:tc>
          <w:tcPr>
            <w:tcW w:w="2204" w:type="dxa"/>
            <w:vAlign w:val="center"/>
          </w:tcPr>
          <w:p w:rsidR="00A62FD3" w:rsidRDefault="007D1167">
            <w:pPr>
              <w:pStyle w:val="a3"/>
              <w:widowControl/>
              <w:spacing w:beforeAutospacing="0" w:afterAutospacing="0"/>
              <w:rPr>
                <w:rFonts w:ascii="宋体" w:eastAsia="宋体" w:hAnsi="宋体" w:cs="宋体"/>
                <w:bCs/>
                <w:color w:val="0D0D0D"/>
                <w:shd w:val="clear" w:color="auto" w:fill="FFFFFF"/>
              </w:rPr>
            </w:pPr>
            <w:r>
              <w:rPr>
                <w:rFonts w:ascii="宋体" w:eastAsia="宋体" w:hAnsi="宋体" w:cs="宋体" w:hint="eastAsia"/>
                <w:bCs/>
                <w:color w:val="0D0D0D"/>
              </w:rPr>
              <w:t>新疆吐鲁番市克尔塔乌铁矿</w:t>
            </w:r>
            <w:r>
              <w:rPr>
                <w:rFonts w:ascii="宋体" w:eastAsia="宋体" w:hAnsi="宋体" w:cs="宋体" w:hint="eastAsia"/>
                <w:color w:val="0D0D0D"/>
                <w:shd w:val="clear" w:color="auto" w:fill="FFFFFF"/>
              </w:rPr>
              <w:t>采矿权出让收益评估报告</w:t>
            </w:r>
          </w:p>
        </w:tc>
        <w:tc>
          <w:tcPr>
            <w:tcW w:w="1932"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新疆矿业联合会</w:t>
            </w:r>
          </w:p>
        </w:tc>
        <w:tc>
          <w:tcPr>
            <w:tcW w:w="1320"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通过</w:t>
            </w:r>
          </w:p>
        </w:tc>
        <w:tc>
          <w:tcPr>
            <w:tcW w:w="2191"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2020年6月19日</w:t>
            </w:r>
          </w:p>
        </w:tc>
      </w:tr>
      <w:tr w:rsidR="00A62FD3">
        <w:trPr>
          <w:trHeight w:val="890"/>
        </w:trPr>
        <w:tc>
          <w:tcPr>
            <w:tcW w:w="875"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2</w:t>
            </w:r>
          </w:p>
        </w:tc>
        <w:tc>
          <w:tcPr>
            <w:tcW w:w="2204" w:type="dxa"/>
            <w:vAlign w:val="center"/>
          </w:tcPr>
          <w:p w:rsidR="00A62FD3" w:rsidRDefault="007D1167">
            <w:pPr>
              <w:pStyle w:val="a3"/>
              <w:widowControl/>
              <w:spacing w:beforeAutospacing="0" w:afterAutospacing="0"/>
              <w:rPr>
                <w:rFonts w:ascii="宋体" w:eastAsia="宋体" w:hAnsi="宋体" w:cs="宋体"/>
                <w:bCs/>
                <w:color w:val="0D0D0D"/>
              </w:rPr>
            </w:pPr>
            <w:r>
              <w:rPr>
                <w:rFonts w:ascii="宋体" w:eastAsia="宋体" w:hAnsi="宋体" w:cs="宋体" w:hint="eastAsia"/>
                <w:bCs/>
                <w:color w:val="0D0D0D"/>
              </w:rPr>
              <w:t>哈密市天山矿业开发有限责任公司新疆哈密市沙尔湖膨润土矿</w:t>
            </w:r>
            <w:r>
              <w:rPr>
                <w:rFonts w:ascii="宋体" w:eastAsia="宋体" w:hAnsi="宋体" w:cs="宋体" w:hint="eastAsia"/>
                <w:color w:val="0D0D0D"/>
                <w:shd w:val="clear" w:color="auto" w:fill="FFFFFF"/>
              </w:rPr>
              <w:t>采矿权出让收益评估报告</w:t>
            </w:r>
          </w:p>
        </w:tc>
        <w:tc>
          <w:tcPr>
            <w:tcW w:w="1932"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新疆矿业联合会</w:t>
            </w:r>
          </w:p>
        </w:tc>
        <w:tc>
          <w:tcPr>
            <w:tcW w:w="1320"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通过</w:t>
            </w:r>
          </w:p>
        </w:tc>
        <w:tc>
          <w:tcPr>
            <w:tcW w:w="2191"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2020年7月13日</w:t>
            </w:r>
          </w:p>
        </w:tc>
      </w:tr>
      <w:tr w:rsidR="00A62FD3">
        <w:trPr>
          <w:trHeight w:val="890"/>
        </w:trPr>
        <w:tc>
          <w:tcPr>
            <w:tcW w:w="875"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3</w:t>
            </w:r>
          </w:p>
        </w:tc>
        <w:tc>
          <w:tcPr>
            <w:tcW w:w="2204" w:type="dxa"/>
            <w:vAlign w:val="center"/>
          </w:tcPr>
          <w:p w:rsidR="00A62FD3" w:rsidRDefault="007D1167">
            <w:pPr>
              <w:pStyle w:val="a3"/>
              <w:widowControl/>
              <w:spacing w:beforeAutospacing="0" w:afterAutospacing="0"/>
              <w:rPr>
                <w:rFonts w:ascii="宋体" w:eastAsia="宋体" w:hAnsi="宋体" w:cs="宋体"/>
                <w:bCs/>
                <w:color w:val="0D0D0D"/>
              </w:rPr>
            </w:pPr>
            <w:r>
              <w:rPr>
                <w:rFonts w:ascii="宋体" w:eastAsia="宋体" w:hAnsi="宋体" w:cs="宋体" w:hint="eastAsia"/>
                <w:bCs/>
                <w:color w:val="0D0D0D"/>
              </w:rPr>
              <w:t>新疆汇</w:t>
            </w:r>
            <w:proofErr w:type="gramStart"/>
            <w:r>
              <w:rPr>
                <w:rFonts w:ascii="宋体" w:eastAsia="宋体" w:hAnsi="宋体" w:cs="宋体" w:hint="eastAsia"/>
                <w:bCs/>
                <w:color w:val="0D0D0D"/>
              </w:rPr>
              <w:t>鑫</w:t>
            </w:r>
            <w:proofErr w:type="gramEnd"/>
            <w:r>
              <w:rPr>
                <w:rFonts w:ascii="宋体" w:eastAsia="宋体" w:hAnsi="宋体" w:cs="宋体" w:hint="eastAsia"/>
                <w:bCs/>
                <w:color w:val="0D0D0D"/>
              </w:rPr>
              <w:t>德商贸有限公司若羌县克</w:t>
            </w:r>
            <w:proofErr w:type="gramStart"/>
            <w:r>
              <w:rPr>
                <w:rFonts w:ascii="宋体" w:eastAsia="宋体" w:hAnsi="宋体" w:cs="宋体" w:hint="eastAsia"/>
                <w:bCs/>
                <w:color w:val="0D0D0D"/>
              </w:rPr>
              <w:t>孜</w:t>
            </w:r>
            <w:proofErr w:type="gramEnd"/>
            <w:r>
              <w:rPr>
                <w:rFonts w:ascii="宋体" w:eastAsia="宋体" w:hAnsi="宋体" w:cs="宋体" w:hint="eastAsia"/>
                <w:bCs/>
                <w:color w:val="0D0D0D"/>
              </w:rPr>
              <w:t>尔卡</w:t>
            </w:r>
            <w:proofErr w:type="gramStart"/>
            <w:r>
              <w:rPr>
                <w:rFonts w:ascii="宋体" w:eastAsia="宋体" w:hAnsi="宋体" w:cs="宋体" w:hint="eastAsia"/>
                <w:bCs/>
                <w:color w:val="0D0D0D"/>
              </w:rPr>
              <w:t>甫</w:t>
            </w:r>
            <w:proofErr w:type="gramEnd"/>
            <w:r>
              <w:rPr>
                <w:rFonts w:ascii="宋体" w:eastAsia="宋体" w:hAnsi="宋体" w:cs="宋体" w:hint="eastAsia"/>
                <w:bCs/>
                <w:color w:val="0D0D0D"/>
              </w:rPr>
              <w:t>铁矿采矿权出让收益评估报告</w:t>
            </w:r>
          </w:p>
        </w:tc>
        <w:tc>
          <w:tcPr>
            <w:tcW w:w="1932"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新疆矿业联合会</w:t>
            </w:r>
          </w:p>
        </w:tc>
        <w:tc>
          <w:tcPr>
            <w:tcW w:w="1320"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通过</w:t>
            </w:r>
          </w:p>
        </w:tc>
        <w:tc>
          <w:tcPr>
            <w:tcW w:w="2191"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2020年7月13日</w:t>
            </w:r>
          </w:p>
        </w:tc>
      </w:tr>
      <w:tr w:rsidR="00A62FD3">
        <w:trPr>
          <w:trHeight w:val="890"/>
        </w:trPr>
        <w:tc>
          <w:tcPr>
            <w:tcW w:w="875"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4</w:t>
            </w:r>
          </w:p>
        </w:tc>
        <w:tc>
          <w:tcPr>
            <w:tcW w:w="2204" w:type="dxa"/>
            <w:vAlign w:val="center"/>
          </w:tcPr>
          <w:p w:rsidR="00A62FD3" w:rsidRDefault="007D1167">
            <w:pPr>
              <w:pStyle w:val="a3"/>
              <w:widowControl/>
              <w:spacing w:beforeAutospacing="0" w:afterAutospacing="0"/>
              <w:rPr>
                <w:rFonts w:ascii="宋体" w:eastAsia="宋体" w:hAnsi="宋体" w:cs="宋体"/>
                <w:bCs/>
                <w:color w:val="0D0D0D"/>
              </w:rPr>
            </w:pPr>
            <w:r>
              <w:rPr>
                <w:rFonts w:ascii="宋体" w:eastAsia="宋体" w:hAnsi="宋体" w:cs="宋体" w:hint="eastAsia"/>
                <w:bCs/>
                <w:color w:val="0D0D0D"/>
              </w:rPr>
              <w:t>拜城县红山铁合金有限责任公司新疆拜城卡朗古尔宏源锰矿采矿权出让收益评估报告</w:t>
            </w:r>
          </w:p>
        </w:tc>
        <w:tc>
          <w:tcPr>
            <w:tcW w:w="1932"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新疆矿业联合会</w:t>
            </w:r>
          </w:p>
        </w:tc>
        <w:tc>
          <w:tcPr>
            <w:tcW w:w="1320"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通过</w:t>
            </w:r>
          </w:p>
        </w:tc>
        <w:tc>
          <w:tcPr>
            <w:tcW w:w="2191"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2020年7月13日</w:t>
            </w:r>
          </w:p>
        </w:tc>
      </w:tr>
      <w:tr w:rsidR="00A62FD3">
        <w:trPr>
          <w:trHeight w:val="890"/>
        </w:trPr>
        <w:tc>
          <w:tcPr>
            <w:tcW w:w="875"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5</w:t>
            </w:r>
          </w:p>
        </w:tc>
        <w:tc>
          <w:tcPr>
            <w:tcW w:w="2204" w:type="dxa"/>
            <w:vAlign w:val="center"/>
          </w:tcPr>
          <w:p w:rsidR="00A62FD3" w:rsidRDefault="007D1167">
            <w:pPr>
              <w:pStyle w:val="a3"/>
              <w:widowControl/>
              <w:spacing w:beforeAutospacing="0" w:afterAutospacing="0"/>
              <w:rPr>
                <w:rFonts w:ascii="宋体" w:eastAsia="宋体" w:hAnsi="宋体" w:cs="宋体"/>
                <w:bCs/>
                <w:color w:val="0D0D0D"/>
              </w:rPr>
            </w:pPr>
            <w:r>
              <w:rPr>
                <w:rFonts w:ascii="宋体" w:eastAsia="宋体" w:hAnsi="宋体" w:cs="宋体" w:hint="eastAsia"/>
                <w:bCs/>
                <w:color w:val="0D0D0D"/>
              </w:rPr>
              <w:t>拜城县红山铁合金有限责任公司新疆拜城</w:t>
            </w:r>
            <w:proofErr w:type="gramStart"/>
            <w:r>
              <w:rPr>
                <w:rFonts w:ascii="宋体" w:eastAsia="宋体" w:hAnsi="宋体" w:cs="宋体" w:hint="eastAsia"/>
                <w:bCs/>
                <w:color w:val="0D0D0D"/>
              </w:rPr>
              <w:t>卡朗果尔</w:t>
            </w:r>
            <w:proofErr w:type="gramEnd"/>
            <w:r>
              <w:rPr>
                <w:rFonts w:ascii="宋体" w:eastAsia="宋体" w:hAnsi="宋体" w:cs="宋体" w:hint="eastAsia"/>
                <w:bCs/>
                <w:color w:val="0D0D0D"/>
              </w:rPr>
              <w:t>锰矿</w:t>
            </w:r>
            <w:proofErr w:type="gramStart"/>
            <w:r>
              <w:rPr>
                <w:rFonts w:ascii="宋体" w:eastAsia="宋体" w:hAnsi="宋体" w:cs="宋体" w:hint="eastAsia"/>
                <w:bCs/>
                <w:color w:val="0D0D0D"/>
              </w:rPr>
              <w:t>一</w:t>
            </w:r>
            <w:proofErr w:type="gramEnd"/>
            <w:r>
              <w:rPr>
                <w:rFonts w:ascii="宋体" w:eastAsia="宋体" w:hAnsi="宋体" w:cs="宋体" w:hint="eastAsia"/>
                <w:bCs/>
                <w:color w:val="0D0D0D"/>
              </w:rPr>
              <w:t>矿区采矿权出让收益评估报告</w:t>
            </w:r>
          </w:p>
        </w:tc>
        <w:tc>
          <w:tcPr>
            <w:tcW w:w="1932"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新疆矿业联合会</w:t>
            </w:r>
          </w:p>
        </w:tc>
        <w:tc>
          <w:tcPr>
            <w:tcW w:w="1320"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通过</w:t>
            </w:r>
          </w:p>
        </w:tc>
        <w:tc>
          <w:tcPr>
            <w:tcW w:w="2191"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2020年7月13日</w:t>
            </w:r>
          </w:p>
        </w:tc>
      </w:tr>
      <w:tr w:rsidR="00A62FD3">
        <w:trPr>
          <w:trHeight w:val="890"/>
        </w:trPr>
        <w:tc>
          <w:tcPr>
            <w:tcW w:w="875"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6</w:t>
            </w:r>
          </w:p>
        </w:tc>
        <w:tc>
          <w:tcPr>
            <w:tcW w:w="2204" w:type="dxa"/>
            <w:vAlign w:val="center"/>
          </w:tcPr>
          <w:p w:rsidR="00A62FD3" w:rsidRDefault="007D1167">
            <w:pPr>
              <w:pStyle w:val="a3"/>
              <w:widowControl/>
              <w:spacing w:beforeAutospacing="0" w:afterAutospacing="0"/>
              <w:rPr>
                <w:rFonts w:ascii="宋体" w:eastAsia="宋体" w:hAnsi="宋体" w:cs="宋体"/>
                <w:bCs/>
                <w:color w:val="0D0D0D"/>
              </w:rPr>
            </w:pPr>
            <w:r>
              <w:rPr>
                <w:rFonts w:ascii="宋体" w:eastAsia="宋体" w:hAnsi="宋体" w:cs="宋体" w:hint="eastAsia"/>
                <w:bCs/>
                <w:color w:val="0D0D0D"/>
              </w:rPr>
              <w:t>神华新疆能源有限责任公司托克逊县黑山露天煤矿采矿权出让收益评估报告</w:t>
            </w:r>
          </w:p>
        </w:tc>
        <w:tc>
          <w:tcPr>
            <w:tcW w:w="1932"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新疆矿业联合会</w:t>
            </w:r>
          </w:p>
        </w:tc>
        <w:tc>
          <w:tcPr>
            <w:tcW w:w="1320"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通过</w:t>
            </w:r>
          </w:p>
        </w:tc>
        <w:tc>
          <w:tcPr>
            <w:tcW w:w="2191"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2020年7月13日</w:t>
            </w:r>
          </w:p>
        </w:tc>
      </w:tr>
      <w:tr w:rsidR="00A62FD3">
        <w:trPr>
          <w:trHeight w:val="890"/>
        </w:trPr>
        <w:tc>
          <w:tcPr>
            <w:tcW w:w="875"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7</w:t>
            </w:r>
          </w:p>
        </w:tc>
        <w:tc>
          <w:tcPr>
            <w:tcW w:w="2204" w:type="dxa"/>
            <w:vAlign w:val="center"/>
          </w:tcPr>
          <w:p w:rsidR="00A62FD3" w:rsidRDefault="007D1167">
            <w:pPr>
              <w:pStyle w:val="a3"/>
              <w:widowControl/>
              <w:spacing w:beforeAutospacing="0" w:afterAutospacing="0"/>
              <w:rPr>
                <w:rFonts w:ascii="宋体" w:eastAsia="宋体" w:hAnsi="宋体" w:cs="宋体"/>
                <w:bCs/>
                <w:color w:val="0D0D0D"/>
              </w:rPr>
            </w:pPr>
            <w:r>
              <w:rPr>
                <w:rFonts w:ascii="宋体" w:eastAsia="宋体" w:hAnsi="宋体" w:cs="宋体" w:hint="eastAsia"/>
                <w:bCs/>
                <w:color w:val="0D0D0D"/>
              </w:rPr>
              <w:t>伊犁新矿煤业有限责任公司伊犁四号矿井采矿权出让收益评估报告</w:t>
            </w:r>
          </w:p>
        </w:tc>
        <w:tc>
          <w:tcPr>
            <w:tcW w:w="1932"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新疆矿业联合会</w:t>
            </w:r>
          </w:p>
        </w:tc>
        <w:tc>
          <w:tcPr>
            <w:tcW w:w="1320"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通过</w:t>
            </w:r>
          </w:p>
        </w:tc>
        <w:tc>
          <w:tcPr>
            <w:tcW w:w="2191"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2020年7月13日</w:t>
            </w:r>
          </w:p>
        </w:tc>
      </w:tr>
      <w:tr w:rsidR="00A62FD3">
        <w:trPr>
          <w:trHeight w:val="890"/>
        </w:trPr>
        <w:tc>
          <w:tcPr>
            <w:tcW w:w="875"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8</w:t>
            </w:r>
          </w:p>
        </w:tc>
        <w:tc>
          <w:tcPr>
            <w:tcW w:w="2204" w:type="dxa"/>
            <w:vAlign w:val="center"/>
          </w:tcPr>
          <w:p w:rsidR="00A62FD3" w:rsidRDefault="007D1167">
            <w:pPr>
              <w:pStyle w:val="a3"/>
              <w:widowControl/>
              <w:spacing w:beforeAutospacing="0" w:afterAutospacing="0"/>
              <w:rPr>
                <w:rFonts w:ascii="宋体" w:eastAsia="宋体" w:hAnsi="宋体" w:cs="宋体"/>
                <w:bCs/>
                <w:color w:val="0D0D0D"/>
              </w:rPr>
            </w:pPr>
            <w:r>
              <w:rPr>
                <w:rFonts w:ascii="宋体" w:eastAsia="宋体" w:hAnsi="宋体" w:cs="宋体" w:hint="eastAsia"/>
                <w:bCs/>
                <w:color w:val="0D0D0D"/>
              </w:rPr>
              <w:t>托里县金福黄金矿业有限责任公司提依尔金矿采矿权出让收益评估报告</w:t>
            </w:r>
          </w:p>
        </w:tc>
        <w:tc>
          <w:tcPr>
            <w:tcW w:w="1932"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新疆矿业联合会</w:t>
            </w:r>
          </w:p>
        </w:tc>
        <w:tc>
          <w:tcPr>
            <w:tcW w:w="1320"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通过</w:t>
            </w:r>
          </w:p>
        </w:tc>
        <w:tc>
          <w:tcPr>
            <w:tcW w:w="2191"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2020年7月13日</w:t>
            </w:r>
          </w:p>
        </w:tc>
      </w:tr>
      <w:tr w:rsidR="00A62FD3">
        <w:trPr>
          <w:trHeight w:val="890"/>
        </w:trPr>
        <w:tc>
          <w:tcPr>
            <w:tcW w:w="875"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lastRenderedPageBreak/>
              <w:t>9</w:t>
            </w:r>
          </w:p>
        </w:tc>
        <w:tc>
          <w:tcPr>
            <w:tcW w:w="2204" w:type="dxa"/>
            <w:vAlign w:val="center"/>
          </w:tcPr>
          <w:p w:rsidR="00A62FD3" w:rsidRDefault="007D1167">
            <w:pPr>
              <w:pStyle w:val="a3"/>
              <w:widowControl/>
              <w:spacing w:beforeAutospacing="0" w:afterAutospacing="0"/>
              <w:rPr>
                <w:rFonts w:ascii="宋体" w:eastAsia="宋体" w:hAnsi="宋体" w:cs="宋体"/>
                <w:bCs/>
                <w:color w:val="0D0D0D"/>
              </w:rPr>
            </w:pPr>
            <w:r>
              <w:rPr>
                <w:rFonts w:ascii="宋体" w:eastAsia="宋体" w:hAnsi="宋体" w:cs="宋体" w:hint="eastAsia"/>
                <w:bCs/>
                <w:color w:val="0D0D0D"/>
              </w:rPr>
              <w:t>新疆焦煤（集团）有限责任公司一八九〇煤矿采矿权出让收益评估报告</w:t>
            </w:r>
          </w:p>
        </w:tc>
        <w:tc>
          <w:tcPr>
            <w:tcW w:w="1932"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新疆矿业联合会</w:t>
            </w:r>
          </w:p>
        </w:tc>
        <w:tc>
          <w:tcPr>
            <w:tcW w:w="1320"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通过</w:t>
            </w:r>
          </w:p>
        </w:tc>
        <w:tc>
          <w:tcPr>
            <w:tcW w:w="2191"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2020年7月13日</w:t>
            </w:r>
          </w:p>
        </w:tc>
      </w:tr>
      <w:tr w:rsidR="00A62FD3">
        <w:trPr>
          <w:trHeight w:val="890"/>
        </w:trPr>
        <w:tc>
          <w:tcPr>
            <w:tcW w:w="875"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10</w:t>
            </w:r>
          </w:p>
        </w:tc>
        <w:tc>
          <w:tcPr>
            <w:tcW w:w="2204" w:type="dxa"/>
            <w:vAlign w:val="center"/>
          </w:tcPr>
          <w:p w:rsidR="00A62FD3" w:rsidRDefault="007D1167">
            <w:pPr>
              <w:pStyle w:val="a3"/>
              <w:widowControl/>
              <w:spacing w:beforeAutospacing="0" w:afterAutospacing="0"/>
              <w:rPr>
                <w:rFonts w:ascii="宋体" w:eastAsia="宋体" w:hAnsi="宋体" w:cs="宋体"/>
                <w:bCs/>
                <w:color w:val="0D0D0D"/>
              </w:rPr>
            </w:pPr>
            <w:r>
              <w:rPr>
                <w:rFonts w:ascii="宋体" w:eastAsia="宋体" w:hAnsi="宋体" w:cs="宋体" w:hint="eastAsia"/>
                <w:bCs/>
                <w:color w:val="0D0D0D"/>
              </w:rPr>
              <w:t>鄯善县新湘矿业有限责任公司哈尔拉金矿采矿权出让收益评估报告</w:t>
            </w:r>
          </w:p>
        </w:tc>
        <w:tc>
          <w:tcPr>
            <w:tcW w:w="1932"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新疆矿业联合会</w:t>
            </w:r>
          </w:p>
        </w:tc>
        <w:tc>
          <w:tcPr>
            <w:tcW w:w="1320"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通过</w:t>
            </w:r>
          </w:p>
        </w:tc>
        <w:tc>
          <w:tcPr>
            <w:tcW w:w="2191"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2020年7月13日</w:t>
            </w:r>
          </w:p>
        </w:tc>
      </w:tr>
      <w:tr w:rsidR="00A62FD3">
        <w:trPr>
          <w:trHeight w:val="890"/>
        </w:trPr>
        <w:tc>
          <w:tcPr>
            <w:tcW w:w="875"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11</w:t>
            </w:r>
          </w:p>
        </w:tc>
        <w:tc>
          <w:tcPr>
            <w:tcW w:w="2204" w:type="dxa"/>
            <w:vAlign w:val="center"/>
          </w:tcPr>
          <w:p w:rsidR="00A62FD3" w:rsidRDefault="007D1167">
            <w:pPr>
              <w:pStyle w:val="a3"/>
              <w:widowControl/>
              <w:spacing w:beforeAutospacing="0" w:afterAutospacing="0"/>
              <w:rPr>
                <w:rFonts w:ascii="宋体" w:eastAsia="宋体" w:hAnsi="宋体" w:cs="宋体"/>
                <w:bCs/>
                <w:color w:val="0D0D0D"/>
              </w:rPr>
            </w:pPr>
            <w:r>
              <w:rPr>
                <w:rFonts w:ascii="宋体" w:eastAsia="宋体" w:hAnsi="宋体" w:cs="宋体" w:hint="eastAsia"/>
                <w:bCs/>
                <w:color w:val="0D0D0D"/>
              </w:rPr>
              <w:t>哈密市神龙矿业有限责任公司新疆哈密梧桐窝子红柳沟金矿采矿权出让收益评估报告</w:t>
            </w:r>
          </w:p>
        </w:tc>
        <w:tc>
          <w:tcPr>
            <w:tcW w:w="1932"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新疆矿业联合会</w:t>
            </w:r>
          </w:p>
        </w:tc>
        <w:tc>
          <w:tcPr>
            <w:tcW w:w="1320"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通过</w:t>
            </w:r>
          </w:p>
        </w:tc>
        <w:tc>
          <w:tcPr>
            <w:tcW w:w="2191" w:type="dxa"/>
            <w:vAlign w:val="center"/>
          </w:tcPr>
          <w:p w:rsidR="00A62FD3" w:rsidRDefault="007D1167">
            <w:pPr>
              <w:jc w:val="center"/>
              <w:rPr>
                <w:rFonts w:ascii="宋体" w:eastAsia="宋体" w:hAnsi="宋体" w:cs="宋体"/>
                <w:bCs/>
                <w:color w:val="0D0D0D"/>
                <w:sz w:val="24"/>
                <w:shd w:val="clear" w:color="auto" w:fill="FFFFFF"/>
              </w:rPr>
            </w:pPr>
            <w:r>
              <w:rPr>
                <w:rFonts w:ascii="宋体" w:eastAsia="宋体" w:hAnsi="宋体" w:cs="宋体" w:hint="eastAsia"/>
                <w:bCs/>
                <w:color w:val="0D0D0D"/>
                <w:sz w:val="24"/>
                <w:shd w:val="clear" w:color="auto" w:fill="FFFFFF"/>
              </w:rPr>
              <w:t>2020年7月14日</w:t>
            </w:r>
          </w:p>
        </w:tc>
      </w:tr>
    </w:tbl>
    <w:p w:rsidR="00A62FD3" w:rsidRDefault="00A62FD3">
      <w:pPr>
        <w:rPr>
          <w:rFonts w:ascii="宋体" w:eastAsia="宋体" w:hAnsi="宋体" w:cs="宋体"/>
          <w:b/>
          <w:color w:val="0D0D0D"/>
          <w:sz w:val="28"/>
          <w:szCs w:val="28"/>
          <w:shd w:val="clear" w:color="auto" w:fill="FFFFFF"/>
        </w:rPr>
      </w:pPr>
    </w:p>
    <w:sectPr w:rsidR="00A62F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8F" w:rsidRDefault="00845C8F" w:rsidP="00C80B41">
      <w:r>
        <w:separator/>
      </w:r>
    </w:p>
  </w:endnote>
  <w:endnote w:type="continuationSeparator" w:id="0">
    <w:p w:rsidR="00845C8F" w:rsidRDefault="00845C8F" w:rsidP="00C8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8F" w:rsidRDefault="00845C8F" w:rsidP="00C80B41">
      <w:r>
        <w:separator/>
      </w:r>
    </w:p>
  </w:footnote>
  <w:footnote w:type="continuationSeparator" w:id="0">
    <w:p w:rsidR="00845C8F" w:rsidRDefault="00845C8F" w:rsidP="00C80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678B7"/>
    <w:rsid w:val="000B500D"/>
    <w:rsid w:val="002F7EE1"/>
    <w:rsid w:val="007B451C"/>
    <w:rsid w:val="007D1167"/>
    <w:rsid w:val="007D2A06"/>
    <w:rsid w:val="00845C8F"/>
    <w:rsid w:val="008549AC"/>
    <w:rsid w:val="008561C4"/>
    <w:rsid w:val="00A62FD3"/>
    <w:rsid w:val="00C80B41"/>
    <w:rsid w:val="03915088"/>
    <w:rsid w:val="15742D98"/>
    <w:rsid w:val="228C050C"/>
    <w:rsid w:val="6EF54FCF"/>
    <w:rsid w:val="74D55D6B"/>
    <w:rsid w:val="7876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C80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80B41"/>
    <w:rPr>
      <w:rFonts w:asciiTheme="minorHAnsi" w:eastAsiaTheme="minorEastAsia" w:hAnsiTheme="minorHAnsi" w:cstheme="minorBidi"/>
      <w:kern w:val="2"/>
      <w:sz w:val="18"/>
      <w:szCs w:val="18"/>
    </w:rPr>
  </w:style>
  <w:style w:type="paragraph" w:styleId="a6">
    <w:name w:val="footer"/>
    <w:basedOn w:val="a"/>
    <w:link w:val="Char0"/>
    <w:rsid w:val="00C80B41"/>
    <w:pPr>
      <w:tabs>
        <w:tab w:val="center" w:pos="4153"/>
        <w:tab w:val="right" w:pos="8306"/>
      </w:tabs>
      <w:snapToGrid w:val="0"/>
      <w:jc w:val="left"/>
    </w:pPr>
    <w:rPr>
      <w:sz w:val="18"/>
      <w:szCs w:val="18"/>
    </w:rPr>
  </w:style>
  <w:style w:type="character" w:customStyle="1" w:styleId="Char0">
    <w:name w:val="页脚 Char"/>
    <w:basedOn w:val="a0"/>
    <w:link w:val="a6"/>
    <w:rsid w:val="00C80B41"/>
    <w:rPr>
      <w:rFonts w:asciiTheme="minorHAnsi" w:eastAsiaTheme="minorEastAsia" w:hAnsiTheme="minorHAnsi" w:cstheme="minorBidi"/>
      <w:kern w:val="2"/>
      <w:sz w:val="18"/>
      <w:szCs w:val="18"/>
    </w:rPr>
  </w:style>
  <w:style w:type="character" w:styleId="a7">
    <w:name w:val="Hyperlink"/>
    <w:basedOn w:val="a0"/>
    <w:uiPriority w:val="99"/>
    <w:unhideWhenUsed/>
    <w:rsid w:val="008549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C80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80B41"/>
    <w:rPr>
      <w:rFonts w:asciiTheme="minorHAnsi" w:eastAsiaTheme="minorEastAsia" w:hAnsiTheme="minorHAnsi" w:cstheme="minorBidi"/>
      <w:kern w:val="2"/>
      <w:sz w:val="18"/>
      <w:szCs w:val="18"/>
    </w:rPr>
  </w:style>
  <w:style w:type="paragraph" w:styleId="a6">
    <w:name w:val="footer"/>
    <w:basedOn w:val="a"/>
    <w:link w:val="Char0"/>
    <w:rsid w:val="00C80B41"/>
    <w:pPr>
      <w:tabs>
        <w:tab w:val="center" w:pos="4153"/>
        <w:tab w:val="right" w:pos="8306"/>
      </w:tabs>
      <w:snapToGrid w:val="0"/>
      <w:jc w:val="left"/>
    </w:pPr>
    <w:rPr>
      <w:sz w:val="18"/>
      <w:szCs w:val="18"/>
    </w:rPr>
  </w:style>
  <w:style w:type="character" w:customStyle="1" w:styleId="Char0">
    <w:name w:val="页脚 Char"/>
    <w:basedOn w:val="a0"/>
    <w:link w:val="a6"/>
    <w:rsid w:val="00C80B41"/>
    <w:rPr>
      <w:rFonts w:asciiTheme="minorHAnsi" w:eastAsiaTheme="minorEastAsia" w:hAnsiTheme="minorHAnsi" w:cstheme="minorBidi"/>
      <w:kern w:val="2"/>
      <w:sz w:val="18"/>
      <w:szCs w:val="18"/>
    </w:rPr>
  </w:style>
  <w:style w:type="character" w:styleId="a7">
    <w:name w:val="Hyperlink"/>
    <w:basedOn w:val="a0"/>
    <w:uiPriority w:val="99"/>
    <w:unhideWhenUsed/>
    <w:rsid w:val="00854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367</Characters>
  <Application>Microsoft Office Word</Application>
  <DocSecurity>0</DocSecurity>
  <Lines>16</Lines>
  <Paragraphs>11</Paragraphs>
  <ScaleCrop>false</ScaleCrop>
  <Company>Microsoft</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cp:lastPrinted>2020-09-03T10:53:00Z</cp:lastPrinted>
  <dcterms:created xsi:type="dcterms:W3CDTF">2020-09-05T05:27:00Z</dcterms:created>
  <dcterms:modified xsi:type="dcterms:W3CDTF">2020-09-05T05:27:00Z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