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85C361">
      <w:pPr>
        <w:spacing w:line="540" w:lineRule="exact"/>
        <w:jc w:val="left"/>
        <w:rPr>
          <w:rFonts w:ascii="仿宋" w:hAnsi="仿宋" w:eastAsia="仿宋" w:cs="宋体"/>
          <w:b w:val="0"/>
          <w:bCs w:val="0"/>
          <w:kern w:val="0"/>
          <w:sz w:val="32"/>
          <w:szCs w:val="32"/>
        </w:rPr>
      </w:pPr>
      <w:r>
        <w:rPr>
          <w:rFonts w:hint="eastAsia" w:ascii="仿宋" w:hAnsi="仿宋" w:eastAsia="仿宋" w:cs="宋体"/>
          <w:b w:val="0"/>
          <w:bCs w:val="0"/>
          <w:kern w:val="0"/>
          <w:sz w:val="32"/>
          <w:szCs w:val="32"/>
        </w:rPr>
        <w:t>附件2：</w:t>
      </w:r>
    </w:p>
    <w:p w14:paraId="42AE77B3">
      <w:pPr>
        <w:spacing w:line="540" w:lineRule="exact"/>
        <w:jc w:val="center"/>
        <w:rPr>
          <w:rFonts w:ascii="华文中宋" w:hAnsi="华文中宋" w:eastAsia="华文中宋" w:cs="宋体"/>
          <w:b w:val="0"/>
          <w:bCs w:val="0"/>
          <w:kern w:val="0"/>
          <w:sz w:val="52"/>
          <w:szCs w:val="52"/>
        </w:rPr>
      </w:pPr>
    </w:p>
    <w:p w14:paraId="6573A583">
      <w:pPr>
        <w:spacing w:line="540" w:lineRule="exact"/>
        <w:jc w:val="center"/>
        <w:rPr>
          <w:rFonts w:ascii="华文中宋" w:hAnsi="华文中宋" w:eastAsia="华文中宋" w:cs="宋体"/>
          <w:b w:val="0"/>
          <w:bCs w:val="0"/>
          <w:kern w:val="0"/>
          <w:sz w:val="52"/>
          <w:szCs w:val="52"/>
        </w:rPr>
      </w:pPr>
    </w:p>
    <w:p w14:paraId="0507119A">
      <w:pPr>
        <w:spacing w:line="540" w:lineRule="exact"/>
        <w:jc w:val="center"/>
        <w:rPr>
          <w:rFonts w:ascii="华文中宋" w:hAnsi="华文中宋" w:eastAsia="华文中宋" w:cs="宋体"/>
          <w:b w:val="0"/>
          <w:bCs w:val="0"/>
          <w:kern w:val="0"/>
          <w:sz w:val="52"/>
          <w:szCs w:val="52"/>
        </w:rPr>
      </w:pPr>
    </w:p>
    <w:p w14:paraId="0A667306">
      <w:pPr>
        <w:spacing w:line="540" w:lineRule="exact"/>
        <w:jc w:val="center"/>
        <w:rPr>
          <w:rFonts w:ascii="华文中宋" w:hAnsi="华文中宋" w:eastAsia="华文中宋" w:cs="宋体"/>
          <w:b w:val="0"/>
          <w:bCs w:val="0"/>
          <w:kern w:val="0"/>
          <w:sz w:val="52"/>
          <w:szCs w:val="52"/>
        </w:rPr>
      </w:pPr>
    </w:p>
    <w:p w14:paraId="22509D1E">
      <w:pPr>
        <w:spacing w:line="540" w:lineRule="exact"/>
        <w:jc w:val="center"/>
        <w:rPr>
          <w:rFonts w:ascii="华文中宋" w:hAnsi="华文中宋" w:eastAsia="华文中宋" w:cs="宋体"/>
          <w:b w:val="0"/>
          <w:bCs w:val="0"/>
          <w:kern w:val="0"/>
          <w:sz w:val="52"/>
          <w:szCs w:val="52"/>
        </w:rPr>
      </w:pPr>
    </w:p>
    <w:p w14:paraId="214728AB">
      <w:pPr>
        <w:spacing w:line="540" w:lineRule="exact"/>
        <w:jc w:val="center"/>
        <w:rPr>
          <w:rFonts w:ascii="华文中宋" w:hAnsi="华文中宋" w:eastAsia="华文中宋" w:cs="宋体"/>
          <w:b w:val="0"/>
          <w:bCs w:val="0"/>
          <w:kern w:val="0"/>
          <w:sz w:val="52"/>
          <w:szCs w:val="52"/>
        </w:rPr>
      </w:pPr>
    </w:p>
    <w:p w14:paraId="082079B0">
      <w:pPr>
        <w:spacing w:line="540" w:lineRule="exact"/>
        <w:jc w:val="center"/>
        <w:rPr>
          <w:rFonts w:ascii="方正小标宋_GBK" w:hAnsi="华文中宋" w:eastAsia="方正小标宋_GBK" w:cs="宋体"/>
          <w:b w:val="0"/>
          <w:bCs w:val="0"/>
          <w:kern w:val="0"/>
          <w:sz w:val="48"/>
          <w:szCs w:val="48"/>
        </w:rPr>
      </w:pPr>
      <w:r>
        <w:rPr>
          <w:rFonts w:hint="eastAsia" w:ascii="方正小标宋_GBK" w:hAnsi="华文中宋" w:eastAsia="方正小标宋_GBK" w:cs="宋体"/>
          <w:b w:val="0"/>
          <w:bCs w:val="0"/>
          <w:kern w:val="0"/>
          <w:sz w:val="48"/>
          <w:szCs w:val="48"/>
        </w:rPr>
        <w:t>自治区财政项目支出绩效自评报告</w:t>
      </w:r>
    </w:p>
    <w:p w14:paraId="774B5A20">
      <w:pPr>
        <w:spacing w:line="540" w:lineRule="exact"/>
        <w:jc w:val="center"/>
        <w:rPr>
          <w:rFonts w:ascii="华文中宋" w:hAnsi="华文中宋" w:eastAsia="华文中宋" w:cs="宋体"/>
          <w:b w:val="0"/>
          <w:bCs w:val="0"/>
          <w:kern w:val="0"/>
          <w:sz w:val="52"/>
          <w:szCs w:val="52"/>
        </w:rPr>
      </w:pPr>
    </w:p>
    <w:p w14:paraId="0BD24809">
      <w:pPr>
        <w:spacing w:line="540" w:lineRule="exact"/>
        <w:jc w:val="center"/>
        <w:rPr>
          <w:rFonts w:hAnsi="宋体" w:eastAsia="仿宋_GB2312" w:cs="宋体"/>
          <w:b w:val="0"/>
          <w:bCs w:val="0"/>
          <w:kern w:val="0"/>
          <w:sz w:val="36"/>
          <w:szCs w:val="36"/>
        </w:rPr>
      </w:pPr>
      <w:r>
        <w:rPr>
          <w:rFonts w:hint="eastAsia" w:hAnsi="宋体" w:eastAsia="仿宋_GB2312" w:cs="宋体"/>
          <w:b w:val="0"/>
          <w:bCs w:val="0"/>
          <w:kern w:val="0"/>
          <w:sz w:val="36"/>
          <w:szCs w:val="36"/>
        </w:rPr>
        <w:t xml:space="preserve">（   </w:t>
      </w:r>
      <w:r>
        <w:rPr>
          <w:rStyle w:val="18"/>
          <w:rFonts w:hint="eastAsia" w:ascii="楷体" w:hAnsi="楷体" w:eastAsia="楷体"/>
          <w:b w:val="0"/>
          <w:bCs w:val="0"/>
          <w:spacing w:val="-4"/>
          <w:sz w:val="32"/>
          <w:szCs w:val="32"/>
        </w:rPr>
        <w:t>2023</w:t>
      </w:r>
      <w:r>
        <w:rPr>
          <w:rFonts w:hint="eastAsia" w:hAnsi="宋体" w:eastAsia="仿宋_GB2312" w:cs="宋体"/>
          <w:b w:val="0"/>
          <w:bCs w:val="0"/>
          <w:kern w:val="0"/>
          <w:sz w:val="36"/>
          <w:szCs w:val="36"/>
        </w:rPr>
        <w:t xml:space="preserve">  年度）</w:t>
      </w:r>
    </w:p>
    <w:p w14:paraId="63DF0709">
      <w:pPr>
        <w:spacing w:line="540" w:lineRule="exact"/>
        <w:jc w:val="center"/>
        <w:rPr>
          <w:rFonts w:hAnsi="宋体" w:eastAsia="仿宋_GB2312" w:cs="宋体"/>
          <w:b w:val="0"/>
          <w:bCs w:val="0"/>
          <w:kern w:val="0"/>
          <w:sz w:val="30"/>
          <w:szCs w:val="30"/>
        </w:rPr>
      </w:pPr>
    </w:p>
    <w:p w14:paraId="6E60CD5B">
      <w:pPr>
        <w:spacing w:line="540" w:lineRule="exact"/>
        <w:jc w:val="center"/>
        <w:rPr>
          <w:rFonts w:hAnsi="宋体" w:eastAsia="仿宋_GB2312" w:cs="宋体"/>
          <w:b w:val="0"/>
          <w:bCs w:val="0"/>
          <w:kern w:val="0"/>
          <w:sz w:val="30"/>
          <w:szCs w:val="30"/>
        </w:rPr>
      </w:pPr>
    </w:p>
    <w:p w14:paraId="0B4D2E34">
      <w:pPr>
        <w:spacing w:line="540" w:lineRule="exact"/>
        <w:jc w:val="center"/>
        <w:rPr>
          <w:rFonts w:ascii="方正小标宋_GBK" w:hAnsi="宋体" w:eastAsia="方正小标宋_GBK" w:cs="宋体"/>
          <w:b w:val="0"/>
          <w:bCs w:val="0"/>
          <w:kern w:val="0"/>
          <w:sz w:val="36"/>
          <w:szCs w:val="36"/>
        </w:rPr>
      </w:pPr>
      <w:r>
        <w:rPr>
          <w:rFonts w:hint="eastAsia" w:ascii="方正小标宋_GBK" w:hAnsi="宋体" w:eastAsia="方正小标宋_GBK" w:cs="宋体"/>
          <w:b w:val="0"/>
          <w:bCs w:val="0"/>
          <w:kern w:val="0"/>
          <w:sz w:val="36"/>
          <w:szCs w:val="36"/>
        </w:rPr>
        <w:t>参考模板</w:t>
      </w:r>
    </w:p>
    <w:p w14:paraId="295FF845">
      <w:pPr>
        <w:spacing w:line="540" w:lineRule="exact"/>
        <w:jc w:val="center"/>
        <w:rPr>
          <w:rFonts w:hAnsi="宋体" w:eastAsia="仿宋_GB2312" w:cs="宋体"/>
          <w:b w:val="0"/>
          <w:bCs w:val="0"/>
          <w:kern w:val="0"/>
          <w:sz w:val="30"/>
          <w:szCs w:val="30"/>
        </w:rPr>
      </w:pPr>
    </w:p>
    <w:p w14:paraId="59359142">
      <w:pPr>
        <w:spacing w:line="540" w:lineRule="exact"/>
        <w:jc w:val="center"/>
        <w:rPr>
          <w:rFonts w:hAnsi="宋体" w:eastAsia="仿宋_GB2312" w:cs="宋体"/>
          <w:b w:val="0"/>
          <w:bCs w:val="0"/>
          <w:kern w:val="0"/>
          <w:sz w:val="30"/>
          <w:szCs w:val="30"/>
        </w:rPr>
      </w:pPr>
    </w:p>
    <w:p w14:paraId="042E4AA8">
      <w:pPr>
        <w:spacing w:line="540" w:lineRule="exact"/>
        <w:jc w:val="center"/>
        <w:rPr>
          <w:rFonts w:hAnsi="宋体" w:eastAsia="仿宋_GB2312" w:cs="宋体"/>
          <w:b w:val="0"/>
          <w:bCs w:val="0"/>
          <w:kern w:val="0"/>
          <w:sz w:val="30"/>
          <w:szCs w:val="30"/>
        </w:rPr>
      </w:pPr>
    </w:p>
    <w:p w14:paraId="03A4B42A">
      <w:pPr>
        <w:spacing w:line="540" w:lineRule="exact"/>
        <w:rPr>
          <w:rFonts w:hAnsi="宋体" w:eastAsia="仿宋_GB2312" w:cs="宋体"/>
          <w:b w:val="0"/>
          <w:bCs w:val="0"/>
          <w:kern w:val="0"/>
          <w:sz w:val="30"/>
          <w:szCs w:val="30"/>
        </w:rPr>
      </w:pPr>
    </w:p>
    <w:p w14:paraId="2C47D72E">
      <w:pPr>
        <w:spacing w:line="700" w:lineRule="exact"/>
        <w:jc w:val="left"/>
        <w:rPr>
          <w:rFonts w:hAnsi="宋体" w:eastAsia="仿宋_GB2312" w:cs="宋体"/>
          <w:b w:val="0"/>
          <w:bCs w:val="0"/>
          <w:kern w:val="0"/>
          <w:sz w:val="36"/>
          <w:szCs w:val="36"/>
        </w:rPr>
      </w:pPr>
      <w:r>
        <w:rPr>
          <w:rFonts w:hint="eastAsia" w:hAnsi="宋体" w:eastAsia="仿宋_GB2312" w:cs="宋体"/>
          <w:b w:val="0"/>
          <w:bCs w:val="0"/>
          <w:kern w:val="0"/>
          <w:sz w:val="36"/>
          <w:szCs w:val="36"/>
        </w:rPr>
        <w:t xml:space="preserve">     </w:t>
      </w:r>
    </w:p>
    <w:p w14:paraId="0E632280">
      <w:pPr>
        <w:spacing w:line="700" w:lineRule="exact"/>
        <w:ind w:firstLine="900" w:firstLineChars="250"/>
        <w:jc w:val="left"/>
        <w:rPr>
          <w:rFonts w:hAnsi="宋体" w:eastAsia="仿宋_GB2312" w:cs="宋体"/>
          <w:b w:val="0"/>
          <w:bCs w:val="0"/>
          <w:kern w:val="0"/>
          <w:sz w:val="36"/>
          <w:szCs w:val="36"/>
        </w:rPr>
      </w:pPr>
      <w:r>
        <w:rPr>
          <w:rFonts w:hint="eastAsia" w:hAnsi="宋体" w:eastAsia="仿宋_GB2312" w:cs="宋体"/>
          <w:b w:val="0"/>
          <w:bCs w:val="0"/>
          <w:kern w:val="0"/>
          <w:sz w:val="36"/>
          <w:szCs w:val="36"/>
        </w:rPr>
        <w:t>项目名称：</w:t>
      </w:r>
      <w:r>
        <w:rPr>
          <w:rStyle w:val="18"/>
          <w:rFonts w:hint="eastAsia" w:ascii="楷体" w:hAnsi="楷体" w:eastAsia="楷体"/>
          <w:b w:val="0"/>
          <w:bCs w:val="0"/>
          <w:spacing w:val="-4"/>
          <w:sz w:val="32"/>
          <w:szCs w:val="32"/>
        </w:rPr>
        <w:t>履行两统一职责机关专项</w:t>
      </w:r>
    </w:p>
    <w:p w14:paraId="05A99262">
      <w:pPr>
        <w:spacing w:line="540" w:lineRule="exact"/>
        <w:ind w:firstLine="567"/>
        <w:rPr>
          <w:rFonts w:ascii="楷体" w:hAnsi="楷体" w:eastAsia="楷体"/>
          <w:b w:val="0"/>
          <w:bCs w:val="0"/>
          <w:spacing w:val="-4"/>
          <w:sz w:val="32"/>
          <w:szCs w:val="32"/>
        </w:rPr>
      </w:pPr>
      <w:r>
        <w:rPr>
          <w:rFonts w:hint="eastAsia" w:hAnsi="宋体" w:eastAsia="仿宋_GB2312" w:cs="宋体"/>
          <w:b w:val="0"/>
          <w:bCs w:val="0"/>
          <w:kern w:val="0"/>
          <w:sz w:val="36"/>
          <w:szCs w:val="36"/>
        </w:rPr>
        <w:t xml:space="preserve">  实施单位（公章）：</w:t>
      </w:r>
      <w:r>
        <w:rPr>
          <w:rStyle w:val="18"/>
          <w:rFonts w:hint="eastAsia" w:ascii="楷体" w:hAnsi="楷体" w:eastAsia="楷体"/>
          <w:b w:val="0"/>
          <w:bCs w:val="0"/>
          <w:spacing w:val="-4"/>
          <w:sz w:val="28"/>
          <w:szCs w:val="28"/>
        </w:rPr>
        <w:t>新疆维吾尔自治区自然资源厅本级</w:t>
      </w:r>
    </w:p>
    <w:p w14:paraId="32C0C4CE">
      <w:pPr>
        <w:spacing w:line="540" w:lineRule="exact"/>
        <w:ind w:firstLine="900" w:firstLineChars="250"/>
        <w:rPr>
          <w:rFonts w:ascii="楷体" w:hAnsi="楷体" w:eastAsia="楷体"/>
          <w:b w:val="0"/>
          <w:bCs w:val="0"/>
          <w:spacing w:val="-4"/>
          <w:sz w:val="28"/>
          <w:szCs w:val="28"/>
        </w:rPr>
      </w:pPr>
      <w:r>
        <w:rPr>
          <w:rFonts w:hint="eastAsia" w:hAnsi="宋体" w:eastAsia="仿宋_GB2312" w:cs="宋体"/>
          <w:b w:val="0"/>
          <w:bCs w:val="0"/>
          <w:kern w:val="0"/>
          <w:sz w:val="36"/>
          <w:szCs w:val="36"/>
        </w:rPr>
        <w:t>主管部门（公章）：</w:t>
      </w:r>
      <w:r>
        <w:rPr>
          <w:rStyle w:val="18"/>
          <w:rFonts w:hint="eastAsia" w:ascii="楷体" w:hAnsi="楷体" w:eastAsia="楷体"/>
          <w:b w:val="0"/>
          <w:bCs w:val="0"/>
          <w:spacing w:val="-4"/>
          <w:sz w:val="28"/>
          <w:szCs w:val="28"/>
        </w:rPr>
        <w:t>新疆维吾尔自治区自然资源厅本级</w:t>
      </w:r>
    </w:p>
    <w:p w14:paraId="541C79F1">
      <w:pPr>
        <w:spacing w:line="540" w:lineRule="exact"/>
        <w:ind w:firstLine="900" w:firstLineChars="250"/>
        <w:rPr>
          <w:rFonts w:ascii="楷体" w:hAnsi="楷体" w:eastAsia="楷体"/>
          <w:b w:val="0"/>
          <w:bCs w:val="0"/>
          <w:spacing w:val="-4"/>
          <w:sz w:val="32"/>
          <w:szCs w:val="32"/>
        </w:rPr>
      </w:pPr>
      <w:r>
        <w:rPr>
          <w:rFonts w:hint="eastAsia" w:hAnsi="宋体" w:eastAsia="仿宋_GB2312" w:cs="宋体"/>
          <w:b w:val="0"/>
          <w:bCs w:val="0"/>
          <w:kern w:val="0"/>
          <w:sz w:val="36"/>
          <w:szCs w:val="36"/>
        </w:rPr>
        <w:t>项目负责人（签章）：</w:t>
      </w:r>
      <w:r>
        <w:rPr>
          <w:rStyle w:val="18"/>
          <w:rFonts w:hint="eastAsia" w:ascii="楷体" w:hAnsi="楷体" w:eastAsia="楷体"/>
          <w:b w:val="0"/>
          <w:bCs w:val="0"/>
          <w:spacing w:val="-4"/>
          <w:sz w:val="32"/>
          <w:szCs w:val="32"/>
        </w:rPr>
        <w:t>杜世宝</w:t>
      </w:r>
    </w:p>
    <w:p w14:paraId="657AF9F5">
      <w:pPr>
        <w:spacing w:line="540" w:lineRule="exact"/>
        <w:ind w:left="273" w:firstLine="567"/>
        <w:rPr>
          <w:rStyle w:val="18"/>
          <w:rFonts w:ascii="楷体" w:hAnsi="楷体" w:eastAsia="楷体"/>
          <w:b w:val="0"/>
          <w:bCs w:val="0"/>
          <w:spacing w:val="-4"/>
          <w:sz w:val="32"/>
          <w:szCs w:val="32"/>
        </w:rPr>
      </w:pPr>
      <w:r>
        <w:rPr>
          <w:rFonts w:hint="eastAsia" w:hAnsi="宋体" w:eastAsia="仿宋_GB2312" w:cs="宋体"/>
          <w:b w:val="0"/>
          <w:bCs w:val="0"/>
          <w:kern w:val="0"/>
          <w:sz w:val="36"/>
          <w:szCs w:val="36"/>
        </w:rPr>
        <w:t>填报时间：</w:t>
      </w:r>
      <w:r>
        <w:rPr>
          <w:rStyle w:val="18"/>
          <w:rFonts w:hint="eastAsia" w:ascii="楷体" w:hAnsi="楷体" w:eastAsia="楷体"/>
          <w:b w:val="0"/>
          <w:bCs w:val="0"/>
          <w:spacing w:val="-4"/>
          <w:sz w:val="32"/>
          <w:szCs w:val="32"/>
        </w:rPr>
        <w:t>2024年03月19日</w:t>
      </w:r>
    </w:p>
    <w:p w14:paraId="500931FF">
      <w:pPr>
        <w:spacing w:line="700" w:lineRule="exact"/>
        <w:ind w:firstLine="708" w:firstLineChars="236"/>
        <w:jc w:val="left"/>
        <w:rPr>
          <w:rFonts w:hAnsi="宋体" w:eastAsia="仿宋_GB2312" w:cs="宋体"/>
          <w:b w:val="0"/>
          <w:bCs w:val="0"/>
          <w:kern w:val="0"/>
          <w:sz w:val="30"/>
          <w:szCs w:val="30"/>
        </w:rPr>
      </w:pPr>
    </w:p>
    <w:p w14:paraId="793A8C73">
      <w:pPr>
        <w:spacing w:line="540" w:lineRule="exact"/>
        <w:rPr>
          <w:rStyle w:val="18"/>
          <w:rFonts w:ascii="黑体" w:hAnsi="黑体" w:eastAsia="黑体"/>
          <w:b w:val="0"/>
          <w:bCs w:val="0"/>
          <w:spacing w:val="-4"/>
          <w:sz w:val="32"/>
          <w:szCs w:val="32"/>
        </w:rPr>
      </w:pPr>
    </w:p>
    <w:p w14:paraId="4E10AE8A">
      <w:pPr>
        <w:spacing w:line="540" w:lineRule="exact"/>
        <w:ind w:firstLine="640"/>
        <w:rPr>
          <w:rStyle w:val="18"/>
          <w:rFonts w:ascii="黑体" w:hAnsi="黑体" w:eastAsia="黑体"/>
          <w:b w:val="0"/>
          <w:bCs w:val="0"/>
          <w:spacing w:val="-4"/>
          <w:sz w:val="32"/>
          <w:szCs w:val="32"/>
        </w:rPr>
      </w:pPr>
      <w:r>
        <w:rPr>
          <w:rStyle w:val="18"/>
          <w:rFonts w:hint="eastAsia" w:ascii="黑体" w:hAnsi="黑体" w:eastAsia="黑体"/>
          <w:b w:val="0"/>
          <w:bCs w:val="0"/>
          <w:spacing w:val="-4"/>
          <w:sz w:val="32"/>
          <w:szCs w:val="32"/>
        </w:rPr>
        <w:t>一、基本情况</w:t>
      </w:r>
    </w:p>
    <w:p w14:paraId="2D79C144">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（一）项目概况。包括项目背景、主要内容及实施情况、资金投入和使用情况等。</w:t>
      </w:r>
    </w:p>
    <w:p w14:paraId="6D084555">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1.项目背景</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遵循财政部《项目支出绩效评价管理办法》（财预〔2020〕10号）和自治区财政厅《自治区财政支出绩效评价管理暂行办法》（新财预〔2018〕189号）等相关政策文件与规定，旨在评价履行两统一职责机关专项项目实施前期、过程及效果，评价财政预算资金使用的效率及效益。根据《新疆维吾尔自治区机构改革方案的实施意见》，将自治区国土资源厅职责，以及自治区发展和改革委员会的组织编制主体功能区规划职责，自治区住房和城乡建设厅的城乡规划管理职责，自治区水利厅、自治区畜牧厅、自治区林业厅的资源调查和确权登记管理职责，自治区测绘地理信息局的职责等整合，组建自然资源厅，作为自治区人民政府组成部门。自然资源厅落实中央和自治区关于统一行使全民所有土地、矿产、森林、草原、湿地、水等自然资源资产所有者职责，统一行使所有国土空间用途管制和生态保护修复职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2.主要内容及实施情况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（1）主要内容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法制项目：《法治中国建设规划（2021-2025年）》《法治社会建设实施纲要（2021-2025）》《法治政府实施纲要（2021-2025）》对法治工作作出全面部署。自然资源系统全体干部要坚持以习近平新时代中国特色社会主义思想为指导，全面贯彻党的十九大和十九届历次全会精神</w:t>
      </w:r>
      <w:bookmarkStart w:id="0" w:name="_GoBack"/>
      <w:bookmarkEnd w:id="0"/>
      <w:r>
        <w:rPr>
          <w:rStyle w:val="18"/>
          <w:rFonts w:hint="eastAsia" w:ascii="楷体" w:hAnsi="楷体" w:eastAsia="楷体"/>
          <w:b w:val="0"/>
          <w:bCs w:val="0"/>
          <w:spacing w:val="-4"/>
          <w:sz w:val="32"/>
          <w:szCs w:val="32"/>
        </w:rPr>
        <w:t>，全面贯彻习近平法治思想，贯彻落实第三次中央新疆工作座谈会精神，完整准确贯彻新时代党的治疆方略，牢牢扭住社会稳定和长治久安总目标。进一步完善自然资源法治建设制度机制，推进自然资源依法行政体系建设，提高自然资源干部依法行政的水平，提升自然资源系统治理体系和治理能力现代化，到2025年自然资源系统依法治理深入推进，办事依法、遇事找法、解决问题用法、化解矛盾靠法的法治环境显著改善，法治宣传教育工作基本形成普法制度健全、实施高效、职责完备、覆盖全面、精准高效的工作体系。按照自治区普法依法治理工作要求，开展“法治讲堂？法治教育基层行”宣讲活动、“服务总目标普法行”主题实践活动、法治竞赛。落实“谁执法、谁普法”普法责任制，在宪法宣传月、“4？22”世界地球日、“12？4”全国宪法日等重要节点，邀请专家教授开展法治讲座，创作自然资源法治文化微视频，购买自然资源学习图书及相关宣传资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探矿权采矿权项目：在核实拟出让矿业权基础资料的基础上，报经自然资源厅领导批准，委托具备条件的中介机构对拟出让矿业权出让收益进行评估，确定出让底价。近年来，自治区加大探矿权公开出让力度，特别是加快“十四五”规划建设煤矿空白区出让，2023年共计公开出让探矿权41个；同时评估30个采矿权出让收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自然资源地表基质层分类细化调查项目：符合自然资源部《自然资源调查监测体系构建总体方案》以及自治区自然资源厅、发改委、财政厅等部门联合印发的《关于印发〈新疆维吾尔自治区自然资源调查监测体系构建总体方案〉的通知》等文件精神。项目实施可以编制新疆地表基质层细化分类方案、新疆地表基质层分布图等，其数据与成果在服务自然资源统一管理和科学研究、国土空间综合利用和科学规划、生态环境监测保护修复和综合治理等方面作用突出、意义重大。计划完成完成新疆近5年降雨-蒸散、温湿度气象资料、土地利用资料、地质钻探资料、植被分布资料、水文（地表水、地下水）资料、生态环境资料等30份；地面自然资源、地表基质补存查证50余处；数据处理及地表基质-植被-土地-水资源模型构建1套；咨询报告1-2份、论文1-3篇、地方标准规范（初稿）1-2个；新疆地表基质分类、自然资源综合区划、1-2县市试点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内审项目（1）厅管领导干部经济责任离任审计。对6名厅管领导干部（各地州市自然资源局和厅直属单位党政主要领导干部）开展经济责任离任审计。对领导干部在任职期间管辖范围内贯彻执行党和国家经济方针政策、决策部署，推动自然资源事业发展，管理公共资金、国有资产、国有资源，防控重大经济风险等有关经济活动应当履行的职责进行审计监督。对审计发现问题整改落实情况进行核查。（2）厅财政投资项目专项审计对厅系统2022年度部分财政投资项目进行专项审计。对项目全过程经济活动进行监督和评价，确认项目建设与管理活动的真实性、合法性和效益性，促进提升项目绩效，核实项目建设价值。</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其他项目符合自然资源厅日常管理及运转需，结合各局处室工作情况和资金需求量，综合考虑，统筹安排，合理分配资金。</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新疆维吾尔自治区“绿色碳库”碳储量及碳汇试点遥感调查项目：根据2021年10月国务院颁布关于2030年前碳达峰行动方案的通知以及《联合国气候变化框架公约》、《京都议定书》、《巴黎协定》的制定，增强以森林、草原、湿地、荒漠和自然保护地为代表的陆地生态系统固碳能力被认为是最经济可行和环境友好的应对气候变化、减缓大气中温室气体浓度升高的重要途径之一。以自然资源部《自然资源调查监测体系构建总体方案》以及自治区自然资源厅、发改委、财政厅等部门联合印发的《关于印发〈新疆维吾尔自治区自然资源调查监测体系构建总体方案〉的通知》等文件精神为指南，要构建自然资源调查监测体系，统一自然资源分类标准，依法组织开展自然资源调查监测评价，查清我国各类自然资源家底和变化情况，不断加强生态系统碳汇基础支撑。依托和拓展自然资源调查监测体系，利用好国家林草生态综合监测评价成果，建立生态系统碳汇监测核算体系开展森林、草原、湿地、海洋、土壤等碳汇本底调查、碳储量评估，并加强陆地和海洋生态系统碳汇基础理论、基础方法、前沿颠覆性技术研究。“绿色碳库”碳储量碳汇遥感监测是在顺应全球气候治理的国际背景下开展的关键技术研究，可以定量评价我国陆地生态系统的碳汇能力，为应对气候变化工作提供技术支持，符合可持续发展的国家重大战略决策。本项目根据自治区森林、草地调查样方数据结果，拟选取天山北坡部分区域，利用高分辨率遥感影像可以连续、准确、快速的获取植被、水文、土壤因子等时空分布数据，通过结合其他多源数据，可实现森林碳储量、草地碳汇的计量和综合评价，为实现生态资源价值转化和“绿色碳库”的可测量、可报告、可核查提供技术支撑。</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（2）实施情况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项目目前已经完成实际设立的目标，项目在实施过程中严格按照目标设立的各阶段任务进行开展工作，在前期立项过程中严格把质量关，建立安全防护机制，保证项目实施各阶段安全顺利进行。</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3.项目实施主体</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项目由自治区自然资源厅机关实施，内设25个局处室，分别是：办公室、综合和改革处、法规处、自然资源调查监测处、自然资源确权登记局、自然资源所有者权益处、自然资源开发利用处、国土空间规划局、国土空间用途管制处、国土空间生态修复处、矿业权管理处、矿产资源保护监督处、地质勘查管理处、耕地保护监督处、国土测绘处、地理信息管理处、自然资源督察办公室、执法局、科技外事处、财务处、审计处、人事处、机关党委、离退休干部工作处、工会工作委员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主要职能是：</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履行全民所有土地、矿产、森林、草原、湿地、水等自然资源资产所有者职责和所有国土空间用途管制职责。贯彻执行自然资源和国土空间规划及测绘等法律法规，起草自治区自然资源和国土空间规划及测绘等地方性法规和政府规章草案并监督检查执行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负责自然资源调查监测评价。贯彻执行国家自然资源调查监测评价的指标体系和统计标准，建立统一规范的自然资源调查监测评价制度。实施自然资源基础调查、专项调查和监测。负责自然资源调查监测评价成果的监督管理和信息发布。指导地县自然资源调查监测评价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负责自然资源统一确权登记工作。贯彻执行国家各类自然资源和不动产统一确权登记、权籍调查、不动产测绘、争议调处、成果应用的制度、标准、规范。建立健全自然资源和不动产登记信息管理基础平台。负责自治区自然资源和不动产登记资料收集、整理、共享、汇交管理等。会同有关部门提出处理土地、草场等纠纷的配套政策。组织有关部门调查、裁定自治区内土地、草场、矿山、林地、水域等权属纠纷。指导监督全区自然资源和不动产确权登记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负责自然资源资产有偿使用工作。贯彻执行国家全民所有自然资源资产统计制度，负责自治区全民所有自然资源资产核算。编制自治区全民所有自然资源资产负债表，拟订考核标准。贯彻执行国家全民所有自然资源资产划拨、出让、租赁、作价出资和土地储备政策并拟定自治区有关政策，合理配置自治区全民所有自然资源资产。负责自治区自然资源资产价值评估管理，依法收缴相关资产收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五）负责自然资源的合理开发利用。组织拟订自治区自然资源发展规划和战略，拟订自然资源开发利用标准并组织实施，建立政府公示自然资源价格体系，组织开展自然资源分等定级价格评估，开展自然资源利用评价考核，指导节约集约利用。负责自治区自然资源市场监管。组织研究自治区自然资源管理涉及宏观调控、区域协调和城乡统筹的政策措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六）负责建立空间规划体系并监督实施。推进自治区主体功能区战略和制度，组织编制并监督实施国土空间规划和相关专项规划。开展自治区国土空间开发适宜性评价，建立国土空间规划实施监测、评估和预警体系。组织划定自治区生态保护红线、永久基本农田、城镇开发边界等控制线，构建节约资源和保护环境的生产、生活、生态空间布局。建立健全自治区国土空间用途管制制度，研究拟订城乡规划政策并监督实施。组织拟订并实施自治区土地等自然资源年度利用计划。负责自治区土地等国土空间用途转用工作。负责自治区土地征收征用管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七）负责统筹国土空间生态修复。牵头组织编制自治区国土空间生态修复规划并实施有关生态修复重大工程。负责自治区国土空间综合整治、土地整理复垦、矿山地质环境恢复治理等工作。牵头拟订和实施自治区生态保护补偿制度，拟订合理利用社会资金进行生态修复的政策措施，提出重大备选项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八）负责组织实施最严格的耕地保护制度。贯彻执行国家耕地保护政策并牵头拟订和实施自治区有关政策，负责耕地数量、质量、生态保护。组织实施自治区耕地保护责任目标考核和永久基本农田特殊保护。完善自治区耕地占补平衡制度，监督占用耕地补偿制度执行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九）负责管理地质勘查行业和全区地质工作。编制自治区地质勘查规划并监督检查执行情况。管理自治区级地质勘查项目。组织实施自治区重大地质矿产勘查专项。负责自治区地质灾害预防和治理，监督管理地下水过量开采及引发的地面沉降等地质问题。负责自治区古生物化石的监督管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十）负责落实综合防灾减灾规划相关要求，组织编制自治区地质灾害防治规划和防护标准并指导实施。组织指导协调和监督自治区地质灾害调查评价及隐患的普查、详查、排查。指导开展群测群防、专业监测和预报预警等工作，指导开展地质灾害工程治理工作。承担自治区地质灾害应急救援的技术支撑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十一）负责矿产资源管理工作。负责自治区矿产资源储量管理及压覆矿产资源审批。负责自治区矿业权管理。会同有关部门承担自治区保护性开采的特定矿种、优势矿产的调控及相关管理工作。监督指导全区矿产资源合理利用和保护。</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十二）负责测绘地理信息管理工作。负责自治区基础测绘和测绘行业管理。负责自治区测绘资质资格与信用管理，监督管理自治区地理信息安全和市场秩序。负责自治区地理信息公共服务管理。负责自治区测量标志保护。</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十三）推动自然资源领域科技发展。制定并实施自治区自然资源领域科技创新发展和人才培养战略、规划和计划。组织监督实施搜术标准、规程规范。组织实施自治区重大科技工程及创新能力建设，推进自然资源信息化和信息资料的公共服务。组织参与自然资源领域对外交流合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十四）根据授权，对地（州、市）、县（市、区）政府落实党中央、国务院关于自然资源和国土空间规划的重大方针政策、决策部署和自治区党委、自治区人民政府工作要求及法律法规执行情况进行督察。查处自然资源开发利用和国土空间规划及测绘重大违法案件。指导地（州、市）、县（市、区）有关行政执法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（十五）统一领导和管理自治区林业和草原局。</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（十六）完成自治区党委、自治区人民政府交办的其他任务。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十七）职能转变。自治区自然资源厅要落实中央和自治区关于统一行使全民所有自然资源资产所有者职责，统一行使所有国土空间用途管制和生态保护修复职责的要求，强化顶层设计，发挥国土空间规划管控作用，为保护和合理开发利用自然资源提供科学指引。进一步加强自治区自然资源的保护和合理开发利用，建立健全源头保护和全过程修复治理相结合的工作机制，实现整体保护、系统修复、综合治理。创新激励约束并举的制度措施，推进自然资源节约集约利用。进一步精简下放有关行政审批事项、强化监管力度，充分发挥市场对资源配置的决定性作用，更好发挥政府作用，强化自然资源管理规则、标准、制度的约束性作用，推进自然资源确权登记和评估的便民高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编制人数187人，其中：行政人员编制187人。实有在职人数173人，其中：行政在职173人。离退休人员200人，其中：退休人员197人、离休人员3人。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4.资金投入和使用情况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（1）资金投入情况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该项目年初预算数1875万元，全年预算数1875万元，实际总投入1875万元，该项目资金落实到位1875万元，资金来源为本级财政拨款。</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（2）资金使用情况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项目年初预算数1875万元，全年预算数1875万元，全年执行数1875万元，预算执行率100%，主要用于：矿产资源管理类项目经费763.00万元，自然资源法规建设项目经费86.94万元，自然资源基础工作类项目经费895.46万元，自然资源调查监测类项目经费129.60万元。</w:t>
      </w:r>
    </w:p>
    <w:p w14:paraId="0BF5BF74">
      <w:pPr>
        <w:spacing w:line="540" w:lineRule="exact"/>
        <w:ind w:firstLine="564" w:firstLineChars="181"/>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（二）项目绩效目标。包括总体目标和阶段性目标。</w:t>
      </w:r>
    </w:p>
    <w:p w14:paraId="39BC1335">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项目绩效目标包括项目绩效总目标和阶段性目标。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1.项目绩效总目标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为建立完善自然资源管理制度体系，履行好全区自然资源管理职责，组织开展履行两统一职责机关专项。预计2023年公开出让探矿权80余个；同时评估30余个采矿权出让收益，加强自治区矿业权市场建设，规范矿业权出让评估管理，确保矿产资源国有权益不受损失。开展1处地表机制层分类细化调查等专项，加强自然资源基础工作。提高资源保障办能力，服务自治区经济高质量发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2.阶段性目标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（1）项目产出目标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①数量指标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“评估出让探矿权数量”指标，预期指标值为≥80个；</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“评估采矿权出让收益数量”指标，预期指标值为≥30个；</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“地表基质层分类细化调查”指标，预期指标值为≥1处；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“人事年度考核覆盖地州个数”指标，预期指标值为≥14个；</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“特色产业帮扶村数量”指标，预期指标值为≥3个；</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“经济责任审计领导干部人数”指标，预期指标值为≥6个；</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“开展法治讲座次数”指标，预期指标值为≥2次；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“卫星遥感数据收集与处理”指标，预期指标值为≥30个。</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②质量指标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“探矿权项目评估合格率和采矿权项目评估合格率”指标，预期指标值为≥90%。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③时效指标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“评估出让探矿权及时率”指标，预期指标值为≥90%；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“评估采矿权出让收益及时率”指标，预期指标值为≥90%；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“地表基质层分类细化调查及时率”指标，预期指标值为≥90%；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“法治讲座按期完成率”指标，预期指标值为≥90%；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“卫星遥感数据收集与处理及时率”指标，预期指标值为≥90%。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④成本指标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“矿产资源管理类项目经费”指标，预期指标值为≤700万元；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“自然资源法规建设项目经费”指标，预期指标值为≤80.5万元；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“自然资源基础工作类项目经费”指标，预期指标值为≤829.6万元；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“自然资源调查监测类项目经费”指标，预期指标值为≤120万元。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（2）项目效益目标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“保障单位职工工作积极性”指标，预期指标值为有效保障；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“保障矿产资源国有权益不受损失”指标，预期指标值为有效保障。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④可持续影响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⑤满意度指标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w:t>
      </w:r>
    </w:p>
    <w:p w14:paraId="51A0C9F0">
      <w:pPr>
        <w:spacing w:line="540" w:lineRule="exact"/>
        <w:ind w:firstLine="640"/>
        <w:rPr>
          <w:rStyle w:val="18"/>
          <w:rFonts w:ascii="黑体" w:hAnsi="黑体" w:eastAsia="黑体"/>
          <w:b w:val="0"/>
          <w:bCs w:val="0"/>
          <w:spacing w:val="-4"/>
          <w:sz w:val="32"/>
          <w:szCs w:val="32"/>
        </w:rPr>
      </w:pPr>
      <w:r>
        <w:rPr>
          <w:rStyle w:val="18"/>
          <w:rFonts w:hint="eastAsia" w:ascii="黑体" w:hAnsi="黑体" w:eastAsia="黑体"/>
          <w:b w:val="0"/>
          <w:bCs w:val="0"/>
          <w:spacing w:val="-4"/>
          <w:sz w:val="32"/>
          <w:szCs w:val="32"/>
        </w:rPr>
        <w:t>二、</w:t>
      </w:r>
      <w:r>
        <w:rPr>
          <w:rStyle w:val="18"/>
          <w:rFonts w:hint="eastAsia"/>
          <w:b w:val="0"/>
          <w:bCs w:val="0"/>
          <w:spacing w:val="-4"/>
          <w:sz w:val="32"/>
          <w:szCs w:val="32"/>
        </w:rPr>
        <w:t>绩效评价工作开展情况</w:t>
      </w:r>
    </w:p>
    <w:p w14:paraId="332184C5">
      <w:pPr>
        <w:spacing w:line="540" w:lineRule="exact"/>
        <w:ind w:firstLine="564" w:firstLineChars="181"/>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（一）绩效评价目的、对象和范围。</w:t>
      </w:r>
    </w:p>
    <w:p w14:paraId="0BFCA51F">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1.绩效评价目的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2.绩效评价对象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本次评价范围涵盖项目总体绩效目标、各项绩效指标完成情况以及预算执行情况。覆盖项目预算资金支出的所有内容进行评价。包括项目决策、项目实施和项目成果验收流程等。</w:t>
      </w:r>
    </w:p>
    <w:p w14:paraId="6E6B0BF9">
      <w:pPr>
        <w:spacing w:line="540" w:lineRule="exact"/>
        <w:ind w:firstLine="564" w:firstLineChars="181"/>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（二）绩效评价原则、评价指标体系（附表说明）、评价方法、评价标准等。</w:t>
      </w:r>
    </w:p>
    <w:p w14:paraId="3F8673B5">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评价坚持定量优先、定量与定性相结合的方式，始终遵循科学规范、公正公开、分级分类、绩效相关的基本原则。通过对履行两统一职责机关专项项目资金进行绩效评价，旨在了解项目资金使用和项目管理情况、取得的成绩及效益，进而分析在政策执行、预算资金安排、项目实施等方面存在的问题并提出针对性建议。本次项目绩效评价遵循以下基本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（1）科学公正。绩效评价应当运用科学合理的方法，按照规范的程序，对项目绩效进行客观、公正的反映。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（4）公开透明。绩效评价结果应依法依规公开，并自觉接受社会监督。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2.绩效评价指标体系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指标体系根据《预算绩效评价共性指标体系框架》（财预〔2013〕53号）、《自治区党委、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一级指标为：决策、过程、产出、效益。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二级指标为：项目立项、绩效目标、资金投入、资金管理、组织实施、产出数量、产出质量、产出时效、产出成本、项目效益。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本次绩效评价方法的选用坚持简便有效的原则采用成本效益分析法、比较法、综合指数评价法、公众评判法等多种方法，具体评价方法如下：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（1）成本效益分析法，是指将一定时期内总成本与总效益进行对比分析，以评价绩效目标实现程度。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2）比较法，通过整理本项目相关资料和数据，评价数量指标的完成情况；通过分析项目的实施情况与绩效目标实现情况，评价项目实施的效果；通过分析项目资金使用情况及产生的效果，评价预算资金分配的合理性。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（3）综合指数评价法，是指把各项绩效指标的实际水平，对照评价标准值，分别计算各项指标评价得分，再按照设定的各项指标权数计算出综合评价得分，分析评价绩效目标实现情况的评价方法。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14:paraId="1A134432">
      <w:pPr>
        <w:spacing w:line="540" w:lineRule="exact"/>
        <w:ind w:firstLine="564" w:firstLineChars="181"/>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（三）绩效评价工作过程。</w:t>
      </w:r>
    </w:p>
    <w:p w14:paraId="52DBC750">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　本次评价设计了评价方案、评价指标体系，通过资料分析、调研、访谈满意度调查等方式形成评价结论，在与项目单位沟通后确定评价意见，并出具评价报告。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第一阶段：前期准备。认真学习相关要求与规定，成立绩效评价工作组，作为绩效评价工作具体实施机构。成员构成如下：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厅主要领导任评价组组长，绩效评价工作职责为负责全盘工作。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分管财务的厅领导任评价组副组长，绩效评价工作职责为对项目实施情况进行实地调查。</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财务处全体人员任评价组成员，绩效评价工作职责为负责资料审核等工作。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第二阶段：组织实施。经评价组通过实地调研等方式，采用综合分析法对项目的决策、管理、绩效进行的综合评价分析。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第三阶段：分析评价。首先按照指标体系进行定量、定性分析。其次开展量化打分、综合评价工作，形成初步评价结论。最后归纳整体项目情况与存在问题，撰写部门绩效评价报告。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第四阶段：撰写与提交评价报告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项目撰写绩效评价报告，按照财政局大平台绩效系统中统一格式和文本框架撰写绩效评价报告。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第五阶段：归集档案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建立和落实档案管理制度，将项目相关资料存档，包括但不限于：评价项目基本情况和相关文件、评价实施方案、项目支付资料等相关档案。</w:t>
      </w:r>
    </w:p>
    <w:p w14:paraId="30CA8209">
      <w:pPr>
        <w:spacing w:line="540" w:lineRule="exact"/>
        <w:ind w:firstLine="640"/>
        <w:rPr>
          <w:rStyle w:val="18"/>
          <w:rFonts w:hint="eastAsia" w:ascii="黑体" w:hAnsi="黑体" w:eastAsia="黑体"/>
          <w:b w:val="0"/>
          <w:bCs w:val="0"/>
          <w:spacing w:val="-4"/>
          <w:sz w:val="32"/>
          <w:szCs w:val="32"/>
        </w:rPr>
      </w:pPr>
      <w:r>
        <w:rPr>
          <w:rStyle w:val="18"/>
          <w:rFonts w:hint="eastAsia" w:ascii="黑体" w:hAnsi="黑体" w:eastAsia="黑体"/>
          <w:b w:val="0"/>
          <w:bCs w:val="0"/>
          <w:spacing w:val="-4"/>
          <w:sz w:val="32"/>
          <w:szCs w:val="32"/>
        </w:rPr>
        <w:t>三、</w:t>
      </w:r>
      <w:r>
        <w:rPr>
          <w:rStyle w:val="18"/>
          <w:rFonts w:hint="eastAsia"/>
          <w:b w:val="0"/>
          <w:bCs w:val="0"/>
          <w:spacing w:val="-4"/>
          <w:sz w:val="32"/>
          <w:szCs w:val="32"/>
        </w:rPr>
        <w:t>综合评价情况及评价结论</w:t>
      </w:r>
    </w:p>
    <w:p w14:paraId="161C20F9">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（一）综合评价情况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依据《项目支出绩效评价管理办法》财预（2020）10号文件精神，评价工作组从绩效目标、绩效控制、产出及效果进行评价分析。绩效目标主要针对目标明确性、目标合理性和目标细化程度进行分析；绩效控制主要针对资金使用及管理情况、项目组织情况、项目管理情况进行分析；项目产出及效果主要针对项目的经济性、效率性和效益性进行分析。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评价组对照项目绩效评价指标体系，从决策、过程、产出和效益四个维度，通过数据采集、实地调研和问卷访谈等方式，对“履行两统一职责机关专项”项目绩效进行客观公正的评价，本项目总得分为98.66分，绩效评级属于“优”。其中，决策类指标得分20分，过程类指标得分20分，产出类指标得分38.66分，效益类指标得分20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（二）综合评价结论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评价，本项目达到了年初设立的绩效目标，在实施过程中取得了良好的成效，具体表现在：2023年公开出让探矿权41个；同时评估30个采矿权出让收益，加强自治区矿业权市场建设，规范矿业权出让评估管理，确保矿产资源国有权益不受损失。开展1处地表机制层分类细化调查等专项，加强自然资源基础工作。提高资源保障办能力，服务自治区经济高质量发展。</w:t>
      </w:r>
    </w:p>
    <w:p w14:paraId="14ED72D1">
      <w:pPr>
        <w:spacing w:line="540" w:lineRule="exact"/>
        <w:ind w:firstLine="640"/>
        <w:rPr>
          <w:rStyle w:val="18"/>
          <w:rFonts w:ascii="黑体" w:hAnsi="黑体" w:eastAsia="黑体"/>
          <w:b w:val="0"/>
          <w:bCs w:val="0"/>
        </w:rPr>
      </w:pPr>
      <w:r>
        <w:rPr>
          <w:rStyle w:val="18"/>
          <w:rFonts w:hint="eastAsia" w:ascii="黑体" w:hAnsi="黑体" w:eastAsia="黑体"/>
          <w:b w:val="0"/>
          <w:bCs w:val="0"/>
          <w:spacing w:val="-4"/>
          <w:sz w:val="32"/>
          <w:szCs w:val="32"/>
        </w:rPr>
        <w:t>四、</w:t>
      </w:r>
      <w:r>
        <w:rPr>
          <w:rStyle w:val="18"/>
          <w:rFonts w:hint="eastAsia"/>
          <w:b w:val="0"/>
          <w:bCs w:val="0"/>
          <w:spacing w:val="-4"/>
          <w:sz w:val="32"/>
          <w:szCs w:val="32"/>
        </w:rPr>
        <w:t>绩效评价指标分析</w:t>
      </w:r>
      <w:r>
        <w:rPr>
          <w:rStyle w:val="18"/>
          <w:rFonts w:hint="eastAsia" w:ascii="黑体" w:hAnsi="黑体" w:eastAsia="黑体"/>
          <w:b w:val="0"/>
          <w:bCs w:val="0"/>
          <w:spacing w:val="-4"/>
          <w:sz w:val="32"/>
          <w:szCs w:val="32"/>
        </w:rPr>
        <w:t xml:space="preserve"> </w:t>
      </w:r>
    </w:p>
    <w:p w14:paraId="735E22FC">
      <w:pPr>
        <w:spacing w:line="540" w:lineRule="exact"/>
        <w:ind w:firstLine="564" w:firstLineChars="181"/>
        <w:rPr>
          <w:rFonts w:ascii="楷体" w:hAnsi="楷体" w:eastAsia="楷体"/>
          <w:b w:val="0"/>
          <w:bCs w:val="0"/>
          <w:spacing w:val="-4"/>
          <w:sz w:val="32"/>
          <w:szCs w:val="32"/>
        </w:rPr>
      </w:pPr>
      <w:r>
        <w:rPr>
          <w:rFonts w:hint="eastAsia" w:ascii="楷体" w:hAnsi="楷体" w:eastAsia="楷体"/>
          <w:b w:val="0"/>
          <w:bCs w:val="0"/>
          <w:spacing w:val="-4"/>
          <w:sz w:val="32"/>
          <w:szCs w:val="32"/>
        </w:rPr>
        <w:t>（一）项目决策情况。</w:t>
      </w:r>
    </w:p>
    <w:p w14:paraId="22C1D63B">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项目决策类指标包括项目立项、绩效目标和资金投入三方面的内容，由6个三级指标构成，权重分为 20 分，实际得分20分，得分率为100%。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立项依据充分性：根据《关于批复自治区本级2023年部门预算的通知》（新财预〔2023〕1号），并结合自治区自然资源厅机关职责组织实施。围绕自治区自然资源厅机关年度工作重点和工作计划制定经费预算，根据评分标准，该指标不扣分，得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根据决策依据编制工作计划和经费预算，经过与自治区自然资源厅机关财经领导小组进行沟通、筛选确定经费预算计划，上局务会研究确定最终预算方案，根据评分标准，该指标不扣分，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（3）绩效目标合理性：制定了实施方案，明确了总体思路及目标、并对任务进行了详细分解，对目标进行了细化，根据评分标准，该指标不扣分，得3分。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（4）绩效指标明确性：将项目绩效目标细化分解为具体的绩效指标，根据评分标准，该指标不扣分，得2分。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（5）预算编制科学性：预算编制经过新财预〔2023〕1号下拨，实际完成内容与项目内容匹配，项目投资额与工作任务相匹配，根据评分标准，该指标不扣分，得5分。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（6）资金分配合理性：资金分配资金分配与实际相适应，根据评分标准，该指标不扣分，得5分。</w:t>
      </w:r>
    </w:p>
    <w:p w14:paraId="508A0A00">
      <w:pPr>
        <w:spacing w:line="540" w:lineRule="exact"/>
        <w:ind w:firstLine="564" w:firstLineChars="181"/>
        <w:rPr>
          <w:rFonts w:ascii="楷体" w:hAnsi="楷体" w:eastAsia="楷体"/>
          <w:b w:val="0"/>
          <w:bCs w:val="0"/>
          <w:spacing w:val="-4"/>
          <w:sz w:val="32"/>
          <w:szCs w:val="32"/>
        </w:rPr>
      </w:pPr>
      <w:r>
        <w:rPr>
          <w:rFonts w:hint="eastAsia" w:ascii="楷体" w:hAnsi="楷体" w:eastAsia="楷体"/>
          <w:b w:val="0"/>
          <w:bCs w:val="0"/>
          <w:spacing w:val="-4"/>
          <w:sz w:val="32"/>
          <w:szCs w:val="32"/>
        </w:rPr>
        <w:t>（二）项目过程情况。</w:t>
      </w:r>
    </w:p>
    <w:p w14:paraId="4544C444">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项目过程类指标包括资金管理和组织实施两方面的内容，由 5个三级指标构成，权重分为20分，实际得分20 分，得分率为100%。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（1）资金到位率：该项目总投资1875万元，实际到位资金1875万元，其中当年财政拨款1875万元，财政资金足额拨付到位，根据评分标准，该指标不扣分，得5分。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（2）预算执行率：本项目申请预算金额为1875万元，预算批复实际下达金额为1875万元，截至 2023年 12 月 31日，资金执行1875万元，资金执行率100.00%。项目资金支出总体能够按照预算执行，根据评分标准，该指标不扣分，得5分。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（3）资金使用合规性：根据新财预〔2023〕1号文规定，符合预算批复规定用途，不存在截留、挤占、挪用、虚列支出等情况，未发现违规使用情况，根据评分标准，该指标不扣分，得5分。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（4）管理制度健全性：该项目严格按照《自治区自然资源厅机关财务制度》及专项资金相关的制度和管理规定实施，对财政专项资金进行严格管理，基本做到了专款专用，根据评分标准，该指标不扣分，得2分。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制度执行有效性：由部门提出经费预算支出可行性方案，经过与财经领导小组沟通后，报局务会会议研究执行，财务对资金的使用合法合规性进行监督，年底对资金使用效果进行自评，根据评分标准，该指标不扣分，得3分。</w:t>
      </w:r>
    </w:p>
    <w:p w14:paraId="2812DD54">
      <w:pPr>
        <w:spacing w:line="540" w:lineRule="exact"/>
        <w:ind w:firstLine="564" w:firstLineChars="181"/>
        <w:rPr>
          <w:rFonts w:ascii="楷体" w:hAnsi="楷体" w:eastAsia="楷体"/>
          <w:b w:val="0"/>
          <w:bCs w:val="0"/>
          <w:spacing w:val="-4"/>
          <w:sz w:val="32"/>
          <w:szCs w:val="32"/>
        </w:rPr>
      </w:pPr>
      <w:r>
        <w:rPr>
          <w:rFonts w:hint="eastAsia" w:ascii="楷体" w:hAnsi="楷体" w:eastAsia="楷体"/>
          <w:b w:val="0"/>
          <w:bCs w:val="0"/>
          <w:spacing w:val="-4"/>
          <w:sz w:val="32"/>
          <w:szCs w:val="32"/>
        </w:rPr>
        <w:t>（三）项目产出情况。</w:t>
      </w:r>
    </w:p>
    <w:p w14:paraId="3F22DF13">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项目产出类指标包括产出数量、产出质量、产出时效、产出成本四方面的内容，由4个三级指标构成，权重分为40分，实际得分38.57分，得分率为96.43%。</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①对于“产出数量”：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评估出让探矿权数量，预期绩效目标≥80个，实际完成值为41个，偏差率为48.75% ，偏差原因：2023年，财政部 自然资源部 税务总局印发《矿业权出让收益征收办法》（财综〔2023〕10号），该办法实施后，探矿权出让起始价不再单独开展评估工作，因此评估出让探矿权数量明显减少。根据评分标准，该指标扣0.6分，得0.65分。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评估采矿权出让收益数量30个，与预期目标一致，根据评分标准，该指标不扣分，得1.25分；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地表基质层分类细化调查1处，与预期目标一致，根据评分标准，该指标不扣分，得1.25分；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人事年度考核覆盖地州个数14个，与预期目标一致，根据评分标准，该指标不扣分，得1.25分；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特色产业帮扶村数量3个，与预期目标一致，根据评分标准，该指标不扣分，得1.25分；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经济责任审计领导干部人数6个，与预期目标一致，根据评分标准，该指标不扣分，得1.25分；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开展法治讲座次数2次，与预期目标一致，根据评分标准，该指标不扣分，得1.25分；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卫星遥感数据收集与处理30个，与预期目标一致，根据评分标准，该指标不扣分，得1.25分。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合计得9.4分。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（2）对于“产出质量”：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探矿权项目评估合格率100%，与预期目标一致，根据评分标准，该指标不扣分，得5分；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采矿权项目评估合格率100%，与预期目标一致，根据评分标准，该指标不扣分，得5分。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合计得10分。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（3）对于“产出时效”：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评估出让探矿权及时率100%，与预期目标一致，根据评分标准，该指标不扣分，得2分；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评估采矿权出让收益及时率100%，与预期目标一致，根据评分标准，该指标不扣分，得2分；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地表基质层分类细化调查及时率100%，与预期目标一致，根据评分标准，该指标不扣分，得2分；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法治讲座按期完成率100%，与预期目标一致，根据评分标准，该指标不扣分，得2分；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卫星遥感数据收集与处理及时率100%，与预期目标一致，根据评分标准，该指标不扣分，得2分。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合计得10分。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（4）对于“产出成本”：</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矿产资源管理类项目经费，预期绩效目标≤700万元，实际完成值为763万元，偏差率为9% 。根据评分标准，该指标扣0.23分，得2.27分。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自然资源法规建设项目经费，预期绩效目标≤80.5万元，实际完成值为86.94万元，偏差率为8%。根据评分标准，该指标扣0.2分，得2.3分。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自然资源基础工作类项目经费，存在偏差：预期绩效目标≤829.6万元，实际完成值为895.46万元。根据评分标准，该指标扣0.2分，得2.3分。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自然资源调查监测类项目经费,存在偏差：预期绩效目标≤120万元，实际完成值为129.60万元，偏差率为8% 。根据评分标准，该指标扣0.2分，得2.3分。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合计得9.17分。</w:t>
      </w:r>
    </w:p>
    <w:p w14:paraId="6AFDDFF2">
      <w:pPr>
        <w:spacing w:line="540" w:lineRule="exact"/>
        <w:ind w:firstLine="564" w:firstLineChars="181"/>
        <w:rPr>
          <w:rFonts w:ascii="楷体" w:hAnsi="楷体" w:eastAsia="楷体"/>
          <w:b w:val="0"/>
          <w:bCs w:val="0"/>
          <w:spacing w:val="-4"/>
          <w:sz w:val="32"/>
          <w:szCs w:val="32"/>
        </w:rPr>
      </w:pPr>
      <w:r>
        <w:rPr>
          <w:rFonts w:hint="eastAsia" w:ascii="楷体" w:hAnsi="楷体" w:eastAsia="楷体"/>
          <w:b w:val="0"/>
          <w:bCs w:val="0"/>
          <w:spacing w:val="-4"/>
          <w:sz w:val="32"/>
          <w:szCs w:val="32"/>
        </w:rPr>
        <w:t>（四）项目效益情况。</w:t>
      </w:r>
    </w:p>
    <w:p w14:paraId="24E77FBC">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项目效益类指标包括项目效益1个方面的内容，由1个三级指标构成，权重分为20分，实际得分20分，得分率为100%。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（1）实施效益指标：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①对于“经济效益指标”：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有效保障单位职工工作积极性，与预期目标一致，根据评分标准，该指标不扣分，得10分；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有效保障矿产资源国有权益不受损失，与预期目标一致，根据评分标准，该指标不扣分，得10分。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②对于“社会效益指标”：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本项目无该指标。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③对于“生态效益指标”：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本项目无该指标。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实施效益指标合计得20分。</w:t>
      </w:r>
    </w:p>
    <w:p w14:paraId="6EFC83F6">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对于满意度指标：无</w:t>
      </w:r>
    </w:p>
    <w:p w14:paraId="77D80363">
      <w:pPr>
        <w:spacing w:line="540" w:lineRule="exact"/>
        <w:ind w:firstLine="640"/>
        <w:rPr>
          <w:rStyle w:val="18"/>
          <w:rFonts w:ascii="黑体" w:hAnsi="黑体" w:eastAsia="黑体"/>
          <w:b w:val="0"/>
          <w:bCs w:val="0"/>
          <w:spacing w:val="-4"/>
          <w:sz w:val="32"/>
          <w:szCs w:val="32"/>
        </w:rPr>
      </w:pPr>
      <w:r>
        <w:rPr>
          <w:rStyle w:val="18"/>
          <w:rFonts w:hint="eastAsia" w:ascii="黑体" w:hAnsi="黑体" w:eastAsia="黑体"/>
          <w:b w:val="0"/>
          <w:bCs w:val="0"/>
          <w:spacing w:val="-4"/>
          <w:sz w:val="32"/>
          <w:szCs w:val="32"/>
          <w:lang w:eastAsia="zh-CN"/>
        </w:rPr>
        <w:t>五</w:t>
      </w:r>
      <w:r>
        <w:rPr>
          <w:rStyle w:val="18"/>
          <w:rFonts w:hint="eastAsia" w:ascii="黑体" w:hAnsi="黑体" w:eastAsia="黑体"/>
          <w:b w:val="0"/>
          <w:bCs w:val="0"/>
          <w:spacing w:val="-4"/>
          <w:sz w:val="32"/>
          <w:szCs w:val="32"/>
        </w:rPr>
        <w:t>、</w:t>
      </w:r>
      <w:r>
        <w:rPr>
          <w:rStyle w:val="18"/>
          <w:rFonts w:ascii="黑体" w:hAnsi="黑体" w:eastAsia="黑体"/>
          <w:b w:val="0"/>
          <w:bCs w:val="0"/>
          <w:spacing w:val="-4"/>
          <w:sz w:val="32"/>
          <w:szCs w:val="32"/>
        </w:rPr>
        <w:t>主要经验及做法、存在的问题及原因分析</w:t>
      </w:r>
    </w:p>
    <w:p w14:paraId="49B2EC50">
      <w:pPr>
        <w:spacing w:line="540" w:lineRule="exact"/>
        <w:ind w:firstLine="624" w:firstLineChars="200"/>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满意度调查及项目防范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严格坚持先做事、后验收、再拨付的原则，基本杜绝了资金被挤占和挪用现象的发生，跟踪检查到位。加强专项资金事前、事中和事后全过程的监管。在监督环节上，实行关口前移，从事后监督管理转向事前审核，事中监督和事后检查稽核相结合的监督制度上来，形成多环节全过程的监督管理格局，尽量早发现问题，早解决问题。</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（二）存在问题及原因分析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年我厅预算绩效管理工作虽取得一定成绩，但预算绩效管理工作有待进一步改进，一是人事年度考核地州个数指标，由于工作性质原因集中在年末进行，在规定监控节点上不能很好反映。二是对项目绩效评价结果分析、运用不够。今后，我厅将进一步深入分析研究，最大限度实现预算和绩效管理一体化，着力提高财政资源配置效率和使用效益。</w:t>
      </w:r>
    </w:p>
    <w:p w14:paraId="57DF478A">
      <w:pPr>
        <w:ind w:firstLine="624" w:firstLineChars="200"/>
        <w:rPr>
          <w:rStyle w:val="18"/>
          <w:rFonts w:ascii="黑体" w:hAnsi="黑体" w:eastAsia="黑体"/>
          <w:b w:val="0"/>
          <w:bCs w:val="0"/>
          <w:spacing w:val="-4"/>
          <w:sz w:val="32"/>
          <w:szCs w:val="32"/>
        </w:rPr>
      </w:pPr>
      <w:r>
        <w:rPr>
          <w:rStyle w:val="18"/>
          <w:rFonts w:hint="eastAsia" w:ascii="黑体" w:hAnsi="黑体" w:eastAsia="黑体"/>
          <w:b w:val="0"/>
          <w:bCs w:val="0"/>
          <w:spacing w:val="-4"/>
          <w:sz w:val="32"/>
          <w:szCs w:val="32"/>
          <w:lang w:eastAsia="zh-CN"/>
        </w:rPr>
        <w:t>六</w:t>
      </w:r>
      <w:r>
        <w:rPr>
          <w:rStyle w:val="18"/>
          <w:rFonts w:ascii="黑体" w:hAnsi="黑体" w:eastAsia="黑体"/>
          <w:b w:val="0"/>
          <w:bCs w:val="0"/>
          <w:spacing w:val="-4"/>
          <w:sz w:val="32"/>
          <w:szCs w:val="32"/>
        </w:rPr>
        <w:t>、有关建议</w:t>
      </w:r>
    </w:p>
    <w:p w14:paraId="7BAB3F8A">
      <w:pPr>
        <w:spacing w:line="540" w:lineRule="exact"/>
        <w:ind w:firstLine="624" w:firstLineChars="200"/>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 完善绩效管理制度体系。以“预算编制有目标、预算执行有监控、预算完成有评价、评价结果有反馈、反馈结果有应用”为主要目标，继续完善预算绩效管理流程，提高绩效管理质量，建立健全“全方位、全过程、全覆盖”的预算绩效管理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 实现全覆盖、双监督。进一步加强预算绩效管理，扩大绩效目标管理范围，按照横向到边、纵向到底，推进预算绩效管理全覆盖。完善立项评估决策机制，推动事前评估关口前移，建立随报、随评、随入库的管理机制，为年度纳入项目预算编制奠定基础。建立预算绩效执行管理制度，推进绩效跟踪与预算执行相结合，对目标实现程度和资金执行进度实行“双监控”，绩效监控结果与纳入下一年预算水平相挂钩，最大限度发挥项目资金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强化预算绩效考核。进一步强化绩效管理日常监督，采取重点督查、随机抽查等方式，着力推进项目绩效管理扎实推进，将预算绩效结果纳入单位年度绩效和干部政绩考核体系，作为领导干部选拔任用、年度考核的重要参考。坚持问题导向，强化整改落实，切实发挥预算绩效管理在优化财政资源配置和提升资金使用效益上的作用，逐步提高单位预算管理水平和政策实施效果。</w:t>
      </w:r>
    </w:p>
    <w:p w14:paraId="71A3954C">
      <w:pPr>
        <w:spacing w:line="540" w:lineRule="exact"/>
        <w:ind w:firstLine="567"/>
        <w:rPr>
          <w:rStyle w:val="18"/>
          <w:rFonts w:ascii="黑体" w:hAnsi="黑体" w:eastAsia="黑体"/>
          <w:b w:val="0"/>
          <w:bCs w:val="0"/>
          <w:spacing w:val="-4"/>
          <w:sz w:val="32"/>
          <w:szCs w:val="32"/>
        </w:rPr>
      </w:pPr>
      <w:r>
        <w:rPr>
          <w:rStyle w:val="18"/>
          <w:rFonts w:hint="eastAsia" w:ascii="黑体" w:hAnsi="黑体" w:eastAsia="黑体"/>
          <w:b w:val="0"/>
          <w:bCs w:val="0"/>
          <w:spacing w:val="-4"/>
          <w:sz w:val="32"/>
          <w:szCs w:val="32"/>
          <w:lang w:eastAsia="zh-CN"/>
        </w:rPr>
        <w:t>七</w:t>
      </w:r>
      <w:r>
        <w:rPr>
          <w:rStyle w:val="18"/>
          <w:rFonts w:hint="eastAsia" w:ascii="黑体" w:hAnsi="黑体" w:eastAsia="黑体"/>
          <w:b w:val="0"/>
          <w:bCs w:val="0"/>
          <w:spacing w:val="-4"/>
          <w:sz w:val="32"/>
          <w:szCs w:val="32"/>
        </w:rPr>
        <w:t>、其他需要说明的问题</w:t>
      </w:r>
    </w:p>
    <w:p w14:paraId="6A58D3D9">
      <w:pPr>
        <w:spacing w:line="540" w:lineRule="exact"/>
        <w:ind w:firstLine="624" w:firstLineChars="200"/>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我单位对上述项目支出绩效评价报告内反映内容的真实性、完整性负责，接受上级部门及社会监督。</w:t>
      </w:r>
    </w:p>
    <w:p w14:paraId="05B83CF5">
      <w:pPr>
        <w:spacing w:line="540" w:lineRule="exact"/>
        <w:ind w:firstLine="567"/>
        <w:rPr>
          <w:rStyle w:val="18"/>
          <w:rFonts w:ascii="仿宋" w:hAnsi="仿宋" w:eastAsia="仿宋"/>
          <w:b w:val="0"/>
          <w:bCs w:val="0"/>
          <w:spacing w:val="-4"/>
          <w:sz w:val="32"/>
          <w:szCs w:val="32"/>
        </w:rPr>
      </w:pPr>
    </w:p>
    <w:p w14:paraId="5B79579D">
      <w:pPr>
        <w:spacing w:line="540" w:lineRule="exact"/>
        <w:ind w:firstLine="567"/>
        <w:rPr>
          <w:rStyle w:val="18"/>
          <w:rFonts w:ascii="仿宋" w:hAnsi="仿宋" w:eastAsia="仿宋"/>
          <w:b w:val="0"/>
          <w:bCs w:val="0"/>
          <w:spacing w:val="-4"/>
          <w:sz w:val="32"/>
          <w:szCs w:val="32"/>
        </w:rPr>
      </w:pPr>
    </w:p>
    <w:p w14:paraId="324CDAA9">
      <w:pPr>
        <w:spacing w:line="540" w:lineRule="exact"/>
        <w:ind w:firstLine="567"/>
        <w:rPr>
          <w:rStyle w:val="18"/>
          <w:rFonts w:ascii="仿宋" w:hAnsi="仿宋" w:eastAsia="仿宋"/>
          <w:b w:val="0"/>
          <w:bCs w:val="0"/>
          <w:spacing w:val="-4"/>
          <w:sz w:val="32"/>
          <w:szCs w:val="32"/>
        </w:rPr>
      </w:pPr>
    </w:p>
    <w:p w14:paraId="64AF6380">
      <w:pPr>
        <w:spacing w:line="540" w:lineRule="exact"/>
        <w:ind w:firstLine="567"/>
        <w:rPr>
          <w:rStyle w:val="18"/>
          <w:rFonts w:ascii="仿宋" w:hAnsi="仿宋" w:eastAsia="仿宋"/>
          <w:b w:val="0"/>
          <w:bCs w:val="0"/>
          <w:spacing w:val="-4"/>
          <w:sz w:val="32"/>
          <w:szCs w:val="32"/>
        </w:rPr>
      </w:pPr>
    </w:p>
    <w:p w14:paraId="23FBF9CB">
      <w:pPr>
        <w:spacing w:line="540" w:lineRule="exact"/>
        <w:ind w:firstLine="567"/>
        <w:rPr>
          <w:rStyle w:val="18"/>
          <w:rFonts w:ascii="仿宋" w:hAnsi="仿宋" w:eastAsia="仿宋"/>
          <w:b w:val="0"/>
          <w:bCs w:val="0"/>
          <w:spacing w:val="-4"/>
          <w:sz w:val="32"/>
          <w:szCs w:val="32"/>
        </w:rPr>
      </w:pPr>
    </w:p>
    <w:p w14:paraId="209DDB85">
      <w:pPr>
        <w:spacing w:line="540" w:lineRule="exact"/>
        <w:ind w:firstLine="567"/>
        <w:rPr>
          <w:rStyle w:val="18"/>
          <w:rFonts w:ascii="仿宋" w:hAnsi="仿宋" w:eastAsia="仿宋"/>
          <w:b w:val="0"/>
          <w:bCs w:val="0"/>
          <w:spacing w:val="-4"/>
          <w:sz w:val="32"/>
          <w:szCs w:val="32"/>
        </w:rPr>
      </w:pPr>
    </w:p>
    <w:p w14:paraId="3FDF68FC">
      <w:pPr>
        <w:spacing w:line="540" w:lineRule="exact"/>
        <w:ind w:firstLine="567"/>
        <w:rPr>
          <w:rStyle w:val="18"/>
          <w:rFonts w:ascii="仿宋" w:hAnsi="仿宋" w:eastAsia="仿宋"/>
          <w:b w:val="0"/>
          <w:bCs w:val="0"/>
          <w:spacing w:val="-4"/>
          <w:sz w:val="32"/>
          <w:szCs w:val="32"/>
        </w:rPr>
      </w:pPr>
    </w:p>
    <w:p w14:paraId="67F37CA2">
      <w:pPr>
        <w:spacing w:line="540" w:lineRule="exact"/>
        <w:ind w:firstLine="567"/>
        <w:rPr>
          <w:rStyle w:val="18"/>
          <w:rFonts w:ascii="仿宋" w:hAnsi="仿宋" w:eastAsia="仿宋"/>
          <w:b w:val="0"/>
          <w:bCs w:val="0"/>
          <w:spacing w:val="-4"/>
          <w:sz w:val="32"/>
          <w:szCs w:val="32"/>
        </w:rPr>
      </w:pPr>
    </w:p>
    <w:p w14:paraId="7350B531">
      <w:pPr>
        <w:spacing w:line="540" w:lineRule="exact"/>
        <w:ind w:firstLine="567"/>
        <w:rPr>
          <w:rStyle w:val="18"/>
          <w:rFonts w:ascii="仿宋" w:hAnsi="仿宋" w:eastAsia="仿宋"/>
          <w:b w:val="0"/>
          <w:bCs w:val="0"/>
          <w:spacing w:val="-4"/>
          <w:sz w:val="32"/>
          <w:szCs w:val="32"/>
        </w:rPr>
      </w:pPr>
    </w:p>
    <w:p w14:paraId="25FD19E7">
      <w:pPr>
        <w:spacing w:line="540" w:lineRule="exact"/>
        <w:ind w:firstLine="567"/>
        <w:rPr>
          <w:rStyle w:val="18"/>
          <w:rFonts w:ascii="仿宋" w:hAnsi="仿宋" w:eastAsia="仿宋"/>
          <w:b w:val="0"/>
          <w:bCs w:val="0"/>
          <w:spacing w:val="-4"/>
          <w:sz w:val="32"/>
          <w:szCs w:val="32"/>
        </w:rPr>
      </w:pPr>
    </w:p>
    <w:p w14:paraId="67CF94E5">
      <w:pPr>
        <w:spacing w:line="540" w:lineRule="exact"/>
        <w:ind w:firstLine="567"/>
        <w:rPr>
          <w:rStyle w:val="18"/>
          <w:rFonts w:ascii="仿宋" w:hAnsi="仿宋" w:eastAsia="仿宋"/>
          <w:b w:val="0"/>
          <w:bCs w:val="0"/>
          <w:spacing w:val="-4"/>
          <w:sz w:val="32"/>
          <w:szCs w:val="32"/>
        </w:rPr>
      </w:pPr>
    </w:p>
    <w:p w14:paraId="236A7C4D">
      <w:pPr>
        <w:spacing w:line="540" w:lineRule="exact"/>
        <w:ind w:firstLine="567"/>
        <w:rPr>
          <w:rStyle w:val="18"/>
          <w:rFonts w:ascii="仿宋" w:hAnsi="仿宋" w:eastAsia="仿宋"/>
          <w:b w:val="0"/>
          <w:bCs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3000502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14:paraId="324C88C9">
        <w:pPr>
          <w:pStyle w:val="12"/>
          <w:jc w:val="center"/>
        </w:pPr>
        <w:r>
          <w:fldChar w:fldCharType="begin"/>
        </w:r>
        <w:r>
          <w:instrText xml:space="preserve">PAGE   \* MERGEFORMAT</w:instrText>
        </w:r>
        <w:r>
          <w:fldChar w:fldCharType="separate"/>
        </w:r>
        <w:r>
          <w:rPr>
            <w:lang w:val="zh-CN"/>
          </w:rPr>
          <w:t>1</w:t>
        </w:r>
        <w:r>
          <w:fldChar w:fldCharType="end"/>
        </w:r>
      </w:p>
    </w:sdtContent>
  </w:sdt>
  <w:p w14:paraId="703A6C30">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FkMjQ3OGU2MjBlNjM3N2RmNjBiMTAyZGM5MWY4OWMifQ=="/>
  </w:docVars>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C51DF"/>
    <w:rsid w:val="005D10D6"/>
    <w:rsid w:val="005E7C5E"/>
    <w:rsid w:val="0075584F"/>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F42A0"/>
    <w:rsid w:val="00E30E91"/>
    <w:rsid w:val="00E769FE"/>
    <w:rsid w:val="00E774CE"/>
    <w:rsid w:val="00E96D03"/>
    <w:rsid w:val="00EA2CBE"/>
    <w:rsid w:val="00EB10A0"/>
    <w:rsid w:val="00F32FEE"/>
    <w:rsid w:val="00FB10BB"/>
    <w:rsid w:val="0CB44F22"/>
    <w:rsid w:val="3B4E4C98"/>
    <w:rsid w:val="42410507"/>
    <w:rsid w:val="49521DF7"/>
    <w:rsid w:val="4C3D1751"/>
    <w:rsid w:val="4D2606A1"/>
    <w:rsid w:val="7E0427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32</Pages>
  <Words>12767</Words>
  <Characters>13202</Characters>
  <Lines>5</Lines>
  <Paragraphs>1</Paragraphs>
  <TotalTime>0</TotalTime>
  <ScaleCrop>false</ScaleCrop>
  <LinksUpToDate>false</LinksUpToDate>
  <CharactersWithSpaces>13267</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悦己</cp:lastModifiedBy>
  <cp:lastPrinted>2018-12-31T10:56:00Z</cp:lastPrinted>
  <dcterms:modified xsi:type="dcterms:W3CDTF">2024-09-12T10:13:03Z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160D1BA1944349B08C48068401F6E698</vt:lpwstr>
  </property>
</Properties>
</file>