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49416">
      <w:pPr>
        <w:rPr>
          <w:rFonts w:ascii="黑体" w:hAnsi="黑体" w:eastAsia="黑体"/>
          <w:sz w:val="32"/>
          <w:szCs w:val="32"/>
        </w:rPr>
      </w:pPr>
    </w:p>
    <w:p w14:paraId="27645764">
      <w:pPr>
        <w:jc w:val="center"/>
        <w:rPr>
          <w:rFonts w:ascii="方正小标宋_GBK" w:hAnsi="宋体" w:eastAsia="方正小标宋_GBK"/>
          <w:sz w:val="44"/>
          <w:szCs w:val="44"/>
        </w:rPr>
      </w:pPr>
    </w:p>
    <w:p w14:paraId="28B45740">
      <w:pPr>
        <w:jc w:val="center"/>
        <w:rPr>
          <w:rFonts w:ascii="方正小标宋_GBK" w:hAnsi="宋体" w:eastAsia="方正小标宋_GBK"/>
          <w:sz w:val="44"/>
          <w:szCs w:val="44"/>
        </w:rPr>
      </w:pPr>
      <w:r>
        <w:rPr>
          <w:rFonts w:hint="eastAsia" w:ascii="方正小标宋_GBK" w:hAnsi="宋体" w:eastAsia="方正小标宋_GBK"/>
          <w:sz w:val="44"/>
          <w:szCs w:val="44"/>
        </w:rPr>
        <w:t>乌鲁木齐县国土资源执法监察大队</w:t>
      </w:r>
    </w:p>
    <w:p w14:paraId="09D46D78">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CFD1F61">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4EF8BB0E">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451D1EEC">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86DE7EF">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62E21A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876628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34D5F83">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1ED510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60F42A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7C8FD1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0A842B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C8D716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9763D9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C97353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638C25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F48C26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C7BDEF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1BFD96A">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5F97FB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64E6A5A">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69B356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09DBBAD">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E26FA3A">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5A8208C">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A612C9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577B21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6EDD95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D50503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F3DE00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925D1C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36BEB4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BD2F84D">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5B250F2">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DA31BE9">
      <w:r>
        <w:rPr>
          <w:rFonts w:hint="eastAsia" w:ascii="仿宋_GB2312" w:hAnsi="仿宋_GB2312" w:eastAsia="仿宋_GB2312" w:cs="仿宋_GB2312"/>
          <w:sz w:val="32"/>
          <w:szCs w:val="32"/>
        </w:rPr>
        <w:fldChar w:fldCharType="end"/>
      </w:r>
    </w:p>
    <w:p w14:paraId="67CEC53C">
      <w:pPr>
        <w:rPr>
          <w:rFonts w:ascii="仿宋_GB2312" w:eastAsia="仿宋_GB2312"/>
          <w:sz w:val="32"/>
          <w:szCs w:val="32"/>
        </w:rPr>
      </w:pPr>
      <w:r>
        <w:rPr>
          <w:rFonts w:hint="eastAsia" w:ascii="仿宋_GB2312" w:eastAsia="仿宋_GB2312"/>
          <w:sz w:val="32"/>
          <w:szCs w:val="32"/>
        </w:rPr>
        <w:br w:type="page"/>
      </w:r>
    </w:p>
    <w:p w14:paraId="6F2848F2">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6511D96">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20497100">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乌鲁木齐县国土资源执法监察大队，为自治区自然资源厅下属四级单位，参照公务员法管理的事业单位。实行垂直管理，统一履行乌鲁木齐县国土资源执法监察职能。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2.组织和实施对乌鲁木齐县执行土地、矿产资源法律、法规、规章情况的巡查，及时发现和制止土地、矿产资源违法行为。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3.依法组织和实施乌鲁木齐县土地、矿产资源违法案件的调查、取证、现场勘验工作，并提交土地、矿产资源违法案件报告和查处意见。发现重大土地、矿产资源违法案件线索，及时上报。</w:t>
      </w:r>
      <w:r>
        <w:rPr>
          <w:rFonts w:ascii="仿宋_GB2312" w:eastAsia="仿宋_GB2312"/>
          <w:sz w:val="32"/>
          <w:szCs w:val="32"/>
        </w:rPr>
        <w:br w:type="textWrapping"/>
      </w:r>
      <w:r>
        <w:rPr>
          <w:rFonts w:ascii="仿宋_GB2312" w:eastAsia="仿宋_GB2312"/>
          <w:sz w:val="32"/>
          <w:szCs w:val="32"/>
        </w:rPr>
        <w:t>　　4.负责乌鲁木齐县重大土地、矿产资源违法案件查处决定的督办。</w:t>
      </w:r>
      <w:r>
        <w:rPr>
          <w:rFonts w:ascii="仿宋_GB2312" w:eastAsia="仿宋_GB2312"/>
          <w:sz w:val="32"/>
          <w:szCs w:val="32"/>
        </w:rPr>
        <w:br w:type="textWrapping"/>
      </w:r>
      <w:r>
        <w:rPr>
          <w:rFonts w:ascii="仿宋_GB2312" w:eastAsia="仿宋_GB2312"/>
          <w:sz w:val="32"/>
          <w:szCs w:val="32"/>
        </w:rPr>
        <w:t>　　5.完成国土资源执法监察部门和当地政府交办的其他工作</w:t>
      </w:r>
      <w:r>
        <w:rPr>
          <w:rFonts w:hint="eastAsia" w:ascii="仿宋_GB2312" w:eastAsia="仿宋_GB2312"/>
          <w:sz w:val="32"/>
          <w:szCs w:val="32"/>
        </w:rPr>
        <w:t>。</w:t>
      </w:r>
    </w:p>
    <w:p w14:paraId="610F19E7">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3EB88B0">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乌鲁木齐县国土资源执法监察大队2023年度，实有人数</w:t>
      </w:r>
      <w:r>
        <w:rPr>
          <w:rFonts w:hint="eastAsia" w:ascii="仿宋_GB2312" w:eastAsia="仿宋_GB2312"/>
          <w:sz w:val="32"/>
          <w:szCs w:val="32"/>
          <w:lang w:val="zh-CN"/>
        </w:rPr>
        <w:t>16</w:t>
      </w:r>
      <w:r>
        <w:rPr>
          <w:rFonts w:hint="eastAsia" w:ascii="仿宋_GB2312" w:eastAsia="仿宋_GB2312"/>
          <w:sz w:val="32"/>
          <w:szCs w:val="32"/>
        </w:rPr>
        <w:t>人，其中：在职人员</w:t>
      </w:r>
      <w:r>
        <w:rPr>
          <w:rFonts w:hint="eastAsia" w:ascii="仿宋_GB2312" w:eastAsia="仿宋_GB2312"/>
          <w:sz w:val="32"/>
          <w:szCs w:val="32"/>
          <w:lang w:val="zh-CN"/>
        </w:rPr>
        <w:t>11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14:paraId="45537058">
      <w:pPr>
        <w:ind w:firstLine="640" w:firstLineChars="200"/>
        <w:jc w:val="both"/>
        <w:outlineLvl w:val="0"/>
        <w:rPr>
          <w:rFonts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w:t>
      </w:r>
      <w:r>
        <w:rPr>
          <w:rFonts w:hint="eastAsia" w:ascii="仿宋_GB2312" w:hAnsi="黑体" w:eastAsia="仿宋_GB2312" w:cs="宋体"/>
          <w:bCs/>
          <w:kern w:val="0"/>
          <w:sz w:val="32"/>
          <w:szCs w:val="32"/>
          <w:lang w:eastAsia="zh-CN"/>
        </w:rPr>
        <w:t>无</w:t>
      </w:r>
      <w:r>
        <w:rPr>
          <w:rFonts w:hint="eastAsia" w:ascii="仿宋_GB2312" w:hAnsi="黑体" w:eastAsia="仿宋_GB2312" w:cs="宋体"/>
          <w:bCs/>
          <w:kern w:val="0"/>
          <w:sz w:val="32"/>
          <w:szCs w:val="32"/>
        </w:rPr>
        <w:t>下设</w:t>
      </w:r>
      <w:r>
        <w:rPr>
          <w:rFonts w:hint="eastAsia" w:ascii="仿宋_GB2312" w:eastAsia="仿宋_GB2312"/>
          <w:sz w:val="32"/>
          <w:szCs w:val="32"/>
          <w:lang w:val="en-US" w:eastAsia="zh-CN"/>
        </w:rPr>
        <w:t>1</w:t>
      </w:r>
      <w:r>
        <w:rPr>
          <w:rFonts w:hint="eastAsia" w:ascii="仿宋_GB2312" w:hAnsi="黑体" w:eastAsia="仿宋_GB2312" w:cs="宋体"/>
          <w:bCs/>
          <w:kern w:val="0"/>
          <w:sz w:val="32"/>
          <w:szCs w:val="32"/>
        </w:rPr>
        <w:t>个处室，分别是：</w:t>
      </w:r>
      <w:r>
        <w:rPr>
          <w:rFonts w:hint="eastAsia" w:ascii="仿宋_GB2312" w:hAnsi="黑体" w:eastAsia="仿宋_GB2312" w:cs="宋体"/>
          <w:bCs/>
          <w:kern w:val="0"/>
          <w:sz w:val="32"/>
          <w:szCs w:val="32"/>
          <w:lang w:eastAsia="zh-CN"/>
        </w:rPr>
        <w:t>办公室</w:t>
      </w:r>
      <w:r>
        <w:rPr>
          <w:rFonts w:hint="eastAsia" w:ascii="仿宋_GB2312" w:hAnsi="宋体" w:eastAsia="仿宋_GB2312" w:cs="宋体"/>
          <w:kern w:val="0"/>
          <w:sz w:val="32"/>
          <w:szCs w:val="32"/>
        </w:rPr>
        <w:t>。</w:t>
      </w:r>
    </w:p>
    <w:p w14:paraId="1849E4DD">
      <w:pPr>
        <w:jc w:val="center"/>
        <w:outlineLvl w:val="0"/>
        <w:rPr>
          <w:rFonts w:ascii="仿宋_GB2312" w:hAnsi="宋体" w:eastAsia="仿宋_GB2312" w:cs="宋体"/>
          <w:kern w:val="0"/>
          <w:sz w:val="32"/>
          <w:szCs w:val="32"/>
        </w:rPr>
      </w:pPr>
    </w:p>
    <w:p w14:paraId="6B9A2087">
      <w:pPr>
        <w:jc w:val="center"/>
        <w:outlineLvl w:val="0"/>
        <w:rPr>
          <w:rFonts w:ascii="仿宋_GB2312" w:hAnsi="宋体" w:eastAsia="仿宋_GB2312" w:cs="宋体"/>
          <w:kern w:val="0"/>
          <w:sz w:val="32"/>
          <w:szCs w:val="32"/>
        </w:rPr>
      </w:pPr>
    </w:p>
    <w:p w14:paraId="20FC989E">
      <w:pPr>
        <w:jc w:val="center"/>
        <w:outlineLvl w:val="0"/>
        <w:rPr>
          <w:rFonts w:ascii="仿宋_GB2312" w:hAnsi="宋体" w:eastAsia="仿宋_GB2312" w:cs="宋体"/>
          <w:kern w:val="0"/>
          <w:sz w:val="32"/>
          <w:szCs w:val="32"/>
        </w:rPr>
      </w:pPr>
    </w:p>
    <w:p w14:paraId="29D243BB">
      <w:pPr>
        <w:jc w:val="center"/>
        <w:outlineLvl w:val="0"/>
        <w:rPr>
          <w:rFonts w:ascii="仿宋_GB2312" w:hAnsi="宋体" w:eastAsia="仿宋_GB2312" w:cs="宋体"/>
          <w:kern w:val="0"/>
          <w:sz w:val="32"/>
          <w:szCs w:val="32"/>
        </w:rPr>
      </w:pPr>
    </w:p>
    <w:p w14:paraId="6F98ED4A">
      <w:pPr>
        <w:jc w:val="center"/>
        <w:outlineLvl w:val="0"/>
        <w:rPr>
          <w:rFonts w:ascii="仿宋_GB2312" w:hAnsi="宋体" w:eastAsia="仿宋_GB2312" w:cs="宋体"/>
          <w:kern w:val="0"/>
          <w:sz w:val="32"/>
          <w:szCs w:val="32"/>
        </w:rPr>
      </w:pPr>
    </w:p>
    <w:p w14:paraId="70EE8E8F">
      <w:pPr>
        <w:jc w:val="center"/>
        <w:outlineLvl w:val="0"/>
        <w:rPr>
          <w:rFonts w:ascii="仿宋_GB2312" w:hAnsi="宋体" w:eastAsia="仿宋_GB2312" w:cs="宋体"/>
          <w:kern w:val="0"/>
          <w:sz w:val="32"/>
          <w:szCs w:val="32"/>
        </w:rPr>
      </w:pPr>
    </w:p>
    <w:p w14:paraId="14F6E392">
      <w:pPr>
        <w:jc w:val="center"/>
        <w:outlineLvl w:val="0"/>
        <w:rPr>
          <w:rFonts w:ascii="仿宋_GB2312" w:hAnsi="宋体" w:eastAsia="仿宋_GB2312" w:cs="宋体"/>
          <w:kern w:val="0"/>
          <w:sz w:val="32"/>
          <w:szCs w:val="32"/>
        </w:rPr>
      </w:pPr>
    </w:p>
    <w:p w14:paraId="23B5E69E">
      <w:pPr>
        <w:jc w:val="center"/>
        <w:outlineLvl w:val="0"/>
        <w:rPr>
          <w:rFonts w:ascii="仿宋_GB2312" w:hAnsi="宋体" w:eastAsia="仿宋_GB2312" w:cs="宋体"/>
          <w:kern w:val="0"/>
          <w:sz w:val="32"/>
          <w:szCs w:val="32"/>
        </w:rPr>
      </w:pPr>
    </w:p>
    <w:p w14:paraId="6D8E1F3C">
      <w:pPr>
        <w:jc w:val="center"/>
        <w:outlineLvl w:val="0"/>
        <w:rPr>
          <w:rFonts w:ascii="仿宋_GB2312" w:hAnsi="宋体" w:eastAsia="仿宋_GB2312" w:cs="宋体"/>
          <w:kern w:val="0"/>
          <w:sz w:val="32"/>
          <w:szCs w:val="32"/>
        </w:rPr>
      </w:pPr>
    </w:p>
    <w:p w14:paraId="087235E9">
      <w:pPr>
        <w:jc w:val="center"/>
        <w:outlineLvl w:val="0"/>
        <w:rPr>
          <w:rFonts w:ascii="仿宋_GB2312" w:hAnsi="宋体" w:eastAsia="仿宋_GB2312" w:cs="宋体"/>
          <w:kern w:val="0"/>
          <w:sz w:val="32"/>
          <w:szCs w:val="32"/>
        </w:rPr>
      </w:pPr>
    </w:p>
    <w:p w14:paraId="0665DA00">
      <w:pPr>
        <w:jc w:val="center"/>
        <w:outlineLvl w:val="0"/>
        <w:rPr>
          <w:rFonts w:ascii="仿宋_GB2312" w:hAnsi="宋体" w:eastAsia="仿宋_GB2312" w:cs="宋体"/>
          <w:kern w:val="0"/>
          <w:sz w:val="32"/>
          <w:szCs w:val="32"/>
        </w:rPr>
      </w:pPr>
    </w:p>
    <w:p w14:paraId="0835BBE4">
      <w:pPr>
        <w:jc w:val="center"/>
        <w:outlineLvl w:val="0"/>
        <w:rPr>
          <w:rFonts w:ascii="仿宋_GB2312" w:hAnsi="宋体" w:eastAsia="仿宋_GB2312" w:cs="宋体"/>
          <w:kern w:val="0"/>
          <w:sz w:val="32"/>
          <w:szCs w:val="32"/>
        </w:rPr>
      </w:pPr>
    </w:p>
    <w:p w14:paraId="47828075">
      <w:pPr>
        <w:jc w:val="center"/>
        <w:outlineLvl w:val="0"/>
        <w:rPr>
          <w:rFonts w:ascii="仿宋_GB2312" w:hAnsi="宋体" w:eastAsia="仿宋_GB2312" w:cs="宋体"/>
          <w:kern w:val="0"/>
          <w:sz w:val="32"/>
          <w:szCs w:val="32"/>
        </w:rPr>
      </w:pPr>
    </w:p>
    <w:p w14:paraId="253A2BAA">
      <w:pPr>
        <w:jc w:val="center"/>
        <w:outlineLvl w:val="0"/>
        <w:rPr>
          <w:rFonts w:ascii="仿宋_GB2312" w:hAnsi="宋体" w:eastAsia="仿宋_GB2312" w:cs="宋体"/>
          <w:kern w:val="0"/>
          <w:sz w:val="32"/>
          <w:szCs w:val="32"/>
        </w:rPr>
      </w:pPr>
    </w:p>
    <w:p w14:paraId="71B1237E">
      <w:pPr>
        <w:jc w:val="center"/>
        <w:outlineLvl w:val="0"/>
        <w:rPr>
          <w:rFonts w:ascii="仿宋_GB2312" w:hAnsi="宋体" w:eastAsia="仿宋_GB2312" w:cs="宋体"/>
          <w:kern w:val="0"/>
          <w:sz w:val="32"/>
          <w:szCs w:val="32"/>
        </w:rPr>
      </w:pPr>
    </w:p>
    <w:p w14:paraId="70DCB037">
      <w:pPr>
        <w:jc w:val="center"/>
        <w:outlineLvl w:val="0"/>
        <w:rPr>
          <w:rFonts w:ascii="仿宋_GB2312" w:hAnsi="宋体" w:eastAsia="仿宋_GB2312" w:cs="宋体"/>
          <w:kern w:val="0"/>
          <w:sz w:val="32"/>
          <w:szCs w:val="32"/>
        </w:rPr>
      </w:pPr>
    </w:p>
    <w:p w14:paraId="5F4EAE63">
      <w:pPr>
        <w:jc w:val="center"/>
        <w:outlineLvl w:val="0"/>
        <w:rPr>
          <w:rFonts w:ascii="仿宋_GB2312" w:hAnsi="宋体" w:eastAsia="仿宋_GB2312" w:cs="宋体"/>
          <w:kern w:val="0"/>
          <w:sz w:val="32"/>
          <w:szCs w:val="32"/>
        </w:rPr>
      </w:pPr>
    </w:p>
    <w:p w14:paraId="408E691E">
      <w:pPr>
        <w:jc w:val="center"/>
        <w:outlineLvl w:val="0"/>
        <w:rPr>
          <w:rFonts w:ascii="仿宋_GB2312" w:hAnsi="宋体" w:eastAsia="仿宋_GB2312" w:cs="宋体"/>
          <w:kern w:val="0"/>
          <w:sz w:val="32"/>
          <w:szCs w:val="32"/>
        </w:rPr>
      </w:pPr>
    </w:p>
    <w:p w14:paraId="08A07435">
      <w:pPr>
        <w:jc w:val="center"/>
        <w:outlineLvl w:val="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14:paraId="781E3C9F">
      <w:pPr>
        <w:jc w:val="center"/>
        <w:outlineLvl w:val="0"/>
        <w:rPr>
          <w:rFonts w:hint="eastAsia" w:ascii="仿宋_GB2312" w:hAnsi="宋体" w:eastAsia="仿宋_GB2312" w:cs="宋体"/>
          <w:kern w:val="0"/>
          <w:sz w:val="32"/>
          <w:szCs w:val="32"/>
        </w:rPr>
      </w:pPr>
    </w:p>
    <w:p w14:paraId="3F2BD959">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7DAC8BA5">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4AA2C954">
      <w:pPr>
        <w:ind w:firstLine="640" w:firstLineChars="200"/>
        <w:jc w:val="left"/>
        <w:rPr>
          <w:rFonts w:ascii="仿宋_GB2312" w:eastAsia="仿宋_GB2312"/>
          <w:sz w:val="32"/>
          <w:szCs w:val="32"/>
        </w:rPr>
      </w:pPr>
      <w:r>
        <w:rPr>
          <w:rFonts w:hint="eastAsia" w:ascii="仿宋_GB2312" w:eastAsia="仿宋_GB2312"/>
          <w:sz w:val="32"/>
          <w:szCs w:val="32"/>
        </w:rPr>
        <w:t>2023年度收入总计437.18万元，其中：本年收入合计361.78万元，</w:t>
      </w:r>
      <w:r>
        <w:rPr>
          <w:rFonts w:hint="eastAsia" w:ascii="仿宋_GB2312" w:eastAsia="仿宋_GB2312"/>
          <w:color w:val="auto"/>
          <w:spacing w:val="0"/>
          <w:sz w:val="32"/>
          <w:szCs w:val="32"/>
          <w:highlight w:val="none"/>
          <w:lang w:eastAsia="zh-CN"/>
        </w:rPr>
        <w:t>使用非财政拨款结余0.00万元，</w:t>
      </w:r>
      <w:r>
        <w:rPr>
          <w:rFonts w:hint="eastAsia" w:ascii="仿宋_GB2312" w:eastAsia="仿宋_GB2312"/>
          <w:sz w:val="32"/>
          <w:szCs w:val="32"/>
        </w:rPr>
        <w:t>年初结转和结余75.40万元。</w:t>
      </w:r>
    </w:p>
    <w:p w14:paraId="43B75159">
      <w:pPr>
        <w:ind w:firstLine="640" w:firstLineChars="200"/>
        <w:jc w:val="left"/>
        <w:rPr>
          <w:rFonts w:ascii="仿宋_GB2312" w:eastAsia="仿宋_GB2312"/>
          <w:sz w:val="32"/>
          <w:szCs w:val="32"/>
        </w:rPr>
      </w:pPr>
      <w:r>
        <w:rPr>
          <w:rFonts w:hint="eastAsia" w:ascii="仿宋_GB2312" w:eastAsia="仿宋_GB2312"/>
          <w:sz w:val="32"/>
          <w:szCs w:val="32"/>
        </w:rPr>
        <w:t>2023年度支出总计437.18万元，其中：本年支出合计389.89万元，</w:t>
      </w:r>
      <w:r>
        <w:rPr>
          <w:rFonts w:hint="eastAsia" w:ascii="仿宋_GB2312" w:eastAsia="仿宋_GB2312"/>
          <w:sz w:val="32"/>
          <w:szCs w:val="32"/>
          <w:highlight w:val="none"/>
          <w:lang w:val="en-US" w:eastAsia="zh-CN"/>
        </w:rPr>
        <w:t>结余分配0.00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rPr>
        <w:t>年末结转和结余47.29万元。</w:t>
      </w:r>
    </w:p>
    <w:p w14:paraId="467FEB94">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增加24.85万元</w:t>
      </w:r>
      <w:r>
        <w:rPr>
          <w:rFonts w:hint="eastAsia" w:ascii="仿宋_GB2312" w:eastAsia="仿宋_GB2312"/>
          <w:sz w:val="32"/>
          <w:szCs w:val="32"/>
        </w:rPr>
        <w:t>，</w:t>
      </w:r>
      <w:r>
        <w:rPr>
          <w:rFonts w:hint="eastAsia" w:ascii="仿宋_GB2312" w:eastAsia="仿宋_GB2312"/>
          <w:sz w:val="32"/>
          <w:szCs w:val="32"/>
          <w:lang w:val="zh-CN"/>
        </w:rPr>
        <w:t>增长6.03%</w:t>
      </w:r>
      <w:r>
        <w:rPr>
          <w:rFonts w:hint="eastAsia" w:ascii="仿宋_GB2312" w:eastAsia="仿宋_GB2312"/>
          <w:sz w:val="32"/>
          <w:szCs w:val="32"/>
        </w:rPr>
        <w:t>，主要原因是：</w:t>
      </w:r>
      <w:bookmarkStart w:id="10" w:name="_Toc1979"/>
      <w:bookmarkStart w:id="11" w:name="_Toc12142"/>
      <w:r>
        <w:rPr>
          <w:rFonts w:hint="eastAsia" w:ascii="仿宋_GB2312" w:eastAsia="仿宋_GB2312"/>
          <w:sz w:val="32"/>
          <w:szCs w:val="32"/>
        </w:rPr>
        <w:t>在职人员人数增加及人员工资调增，退休职工职业年金缴纳追加预算经费等导致人员经费较上年增加。</w:t>
      </w:r>
    </w:p>
    <w:p w14:paraId="6A593875">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bookmarkEnd w:id="10"/>
      <w:bookmarkEnd w:id="11"/>
    </w:p>
    <w:p w14:paraId="1DF6A3D6">
      <w:pPr>
        <w:ind w:firstLine="640" w:firstLineChars="200"/>
        <w:jc w:val="left"/>
        <w:rPr>
          <w:rFonts w:ascii="仿宋_GB2312" w:eastAsia="仿宋_GB2312"/>
          <w:sz w:val="32"/>
          <w:szCs w:val="32"/>
        </w:rPr>
      </w:pPr>
      <w:r>
        <w:rPr>
          <w:rFonts w:hint="eastAsia" w:ascii="仿宋_GB2312" w:eastAsia="仿宋_GB2312"/>
          <w:sz w:val="32"/>
          <w:szCs w:val="32"/>
        </w:rPr>
        <w:t>本年收入361.78万元，其中：财政拨款收入</w:t>
      </w:r>
      <w:r>
        <w:rPr>
          <w:rFonts w:hint="eastAsia" w:ascii="仿宋_GB2312" w:eastAsia="仿宋_GB2312"/>
          <w:sz w:val="32"/>
          <w:szCs w:val="32"/>
          <w:lang w:val="zh-CN"/>
        </w:rPr>
        <w:t>361.73</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14:paraId="25706A7C">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33FB00C">
      <w:pPr>
        <w:ind w:firstLine="640" w:firstLineChars="200"/>
        <w:jc w:val="left"/>
        <w:rPr>
          <w:rFonts w:ascii="仿宋_GB2312" w:eastAsia="仿宋_GB2312"/>
          <w:sz w:val="32"/>
          <w:szCs w:val="32"/>
        </w:rPr>
      </w:pPr>
      <w:r>
        <w:rPr>
          <w:rFonts w:hint="eastAsia" w:ascii="仿宋_GB2312" w:eastAsia="仿宋_GB2312"/>
          <w:sz w:val="32"/>
          <w:szCs w:val="32"/>
        </w:rPr>
        <w:t>本年支出389.89万元，其中：基本支出272.23万元，占6</w:t>
      </w:r>
      <w:r>
        <w:rPr>
          <w:rFonts w:hint="eastAsia" w:ascii="仿宋_GB2312" w:hAnsi="Times New Roman" w:eastAsia="仿宋_GB2312" w:cs="Times New Roman"/>
          <w:sz w:val="32"/>
          <w:szCs w:val="32"/>
        </w:rPr>
        <w:t>9.82%；项目支出117.66万元，占30.18%。</w:t>
      </w:r>
      <w:r>
        <w:rPr>
          <w:rFonts w:hint="eastAsia" w:ascii="仿宋_GB2312" w:hAnsi="Times New Roman" w:eastAsia="仿宋_GB2312" w:cs="Times New Roman"/>
          <w:sz w:val="32"/>
          <w:szCs w:val="32"/>
          <w:lang w:val="zh-CN"/>
        </w:rPr>
        <w:t>上缴上级支出0.00万元，占0.00%；经营支出0.00万元，占0.00%；对附属单位补助支出0.00万元，占0.00%</w:t>
      </w:r>
      <w:r>
        <w:rPr>
          <w:rFonts w:hint="eastAsia" w:eastAsia="仿宋_GB2312" w:cs="仿宋_GB2312"/>
          <w:sz w:val="32"/>
          <w:szCs w:val="32"/>
          <w:lang w:val="zh-CN"/>
        </w:rPr>
        <w:t>。</w:t>
      </w:r>
    </w:p>
    <w:p w14:paraId="6658BAB9">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E0628E9">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361.73</w:t>
      </w:r>
      <w:r>
        <w:rPr>
          <w:rFonts w:hint="eastAsia" w:ascii="仿宋_GB2312" w:eastAsia="仿宋_GB2312"/>
          <w:sz w:val="32"/>
          <w:szCs w:val="32"/>
        </w:rPr>
        <w:t>万元，其中：年初财政拨款结转和结余</w:t>
      </w:r>
      <w:r>
        <w:rPr>
          <w:rFonts w:hint="eastAsia" w:ascii="仿宋_GB2312" w:eastAsia="仿宋_GB2312"/>
          <w:sz w:val="32"/>
          <w:szCs w:val="32"/>
          <w:lang w:val="en-US" w:eastAsia="zh-CN"/>
        </w:rPr>
        <w:t>0.00万元，</w:t>
      </w:r>
      <w:r>
        <w:rPr>
          <w:rFonts w:hint="eastAsia" w:ascii="仿宋_GB2312" w:eastAsia="仿宋_GB2312"/>
          <w:sz w:val="32"/>
          <w:szCs w:val="32"/>
        </w:rPr>
        <w:t>本年财政拨款收入</w:t>
      </w:r>
      <w:r>
        <w:rPr>
          <w:rFonts w:hint="eastAsia" w:ascii="仿宋_GB2312" w:eastAsia="仿宋_GB2312"/>
          <w:sz w:val="32"/>
          <w:szCs w:val="32"/>
          <w:lang w:val="zh-CN"/>
        </w:rPr>
        <w:t>361.73</w:t>
      </w:r>
      <w:r>
        <w:rPr>
          <w:rFonts w:hint="eastAsia" w:ascii="仿宋_GB2312" w:eastAsia="仿宋_GB2312"/>
          <w:sz w:val="32"/>
          <w:szCs w:val="32"/>
        </w:rPr>
        <w:t>万元。财政拨款支出总计</w:t>
      </w:r>
      <w:r>
        <w:rPr>
          <w:rFonts w:hint="eastAsia" w:ascii="仿宋_GB2312" w:eastAsia="仿宋_GB2312"/>
          <w:sz w:val="32"/>
          <w:szCs w:val="32"/>
          <w:lang w:val="zh-CN"/>
        </w:rPr>
        <w:t>361.73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12.34</w:t>
      </w:r>
      <w:r>
        <w:rPr>
          <w:rFonts w:hint="eastAsia" w:ascii="仿宋_GB2312" w:eastAsia="仿宋_GB2312"/>
          <w:sz w:val="32"/>
          <w:szCs w:val="32"/>
        </w:rPr>
        <w:t>万元，本年财政拨款支出</w:t>
      </w:r>
      <w:r>
        <w:rPr>
          <w:rFonts w:hint="eastAsia" w:ascii="仿宋_GB2312" w:eastAsia="仿宋_GB2312"/>
          <w:sz w:val="32"/>
          <w:szCs w:val="32"/>
          <w:lang w:val="zh-CN"/>
        </w:rPr>
        <w:t>349.39</w:t>
      </w:r>
      <w:r>
        <w:rPr>
          <w:rFonts w:hint="eastAsia" w:ascii="仿宋_GB2312" w:eastAsia="仿宋_GB2312"/>
          <w:sz w:val="32"/>
          <w:szCs w:val="32"/>
        </w:rPr>
        <w:t>万元。</w:t>
      </w:r>
    </w:p>
    <w:p w14:paraId="32C84F24">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增加26.88万元</w:t>
      </w:r>
      <w:r>
        <w:rPr>
          <w:rFonts w:hint="eastAsia" w:ascii="仿宋_GB2312" w:eastAsia="仿宋_GB2312"/>
          <w:sz w:val="32"/>
          <w:szCs w:val="32"/>
        </w:rPr>
        <w:t>，</w:t>
      </w:r>
      <w:r>
        <w:rPr>
          <w:rFonts w:hint="eastAsia" w:ascii="仿宋_GB2312" w:eastAsia="仿宋_GB2312"/>
          <w:sz w:val="32"/>
          <w:szCs w:val="32"/>
          <w:lang w:val="zh-CN"/>
        </w:rPr>
        <w:t>增长8.03%，</w:t>
      </w:r>
      <w:r>
        <w:rPr>
          <w:rFonts w:hint="eastAsia" w:ascii="仿宋_GB2312" w:eastAsia="仿宋_GB2312"/>
          <w:sz w:val="32"/>
          <w:szCs w:val="32"/>
        </w:rPr>
        <w:t>主要原因是：人员调动及工资调增，导致人员各项</w:t>
      </w:r>
      <w:r>
        <w:rPr>
          <w:rFonts w:hint="eastAsia" w:ascii="仿宋_GB2312" w:eastAsia="仿宋_GB2312"/>
          <w:sz w:val="32"/>
          <w:szCs w:val="32"/>
          <w:lang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328.05</w:t>
      </w:r>
      <w:r>
        <w:rPr>
          <w:rFonts w:hint="eastAsia" w:ascii="仿宋_GB2312" w:eastAsia="仿宋_GB2312"/>
          <w:sz w:val="32"/>
          <w:szCs w:val="32"/>
        </w:rPr>
        <w:t>万元，决算数</w:t>
      </w:r>
      <w:r>
        <w:rPr>
          <w:rFonts w:hint="eastAsia" w:ascii="仿宋_GB2312" w:eastAsia="仿宋_GB2312"/>
          <w:sz w:val="32"/>
          <w:szCs w:val="32"/>
          <w:lang w:val="zh-CN"/>
        </w:rPr>
        <w:t>361.73</w:t>
      </w:r>
      <w:r>
        <w:rPr>
          <w:rFonts w:hint="eastAsia" w:ascii="仿宋_GB2312" w:eastAsia="仿宋_GB2312"/>
          <w:sz w:val="32"/>
          <w:szCs w:val="32"/>
        </w:rPr>
        <w:t>万元，预决算差异率10.27%，主要原因是：</w:t>
      </w:r>
      <w:bookmarkStart w:id="16" w:name="_Toc13833"/>
      <w:bookmarkStart w:id="17" w:name="_Toc20360"/>
      <w:r>
        <w:rPr>
          <w:rFonts w:hint="eastAsia" w:ascii="仿宋_GB2312" w:eastAsia="仿宋_GB2312"/>
          <w:sz w:val="32"/>
          <w:szCs w:val="32"/>
        </w:rPr>
        <w:t>人员调动及退休职工职业年金缴纳追加经费款项。</w:t>
      </w:r>
    </w:p>
    <w:p w14:paraId="4EEF7EEF">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14:paraId="60470FB9">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2081BB8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2023年度一般公共预算财政拨款支出349.39万元，占本年支出合计的</w:t>
      </w:r>
      <w:r>
        <w:rPr>
          <w:rFonts w:hint="eastAsia" w:ascii="仿宋_GB2312" w:eastAsia="仿宋_GB2312"/>
          <w:sz w:val="32"/>
          <w:szCs w:val="32"/>
          <w:lang w:val="zh-CN"/>
        </w:rPr>
        <w:t>89.61%</w:t>
      </w:r>
      <w:r>
        <w:rPr>
          <w:rFonts w:hint="eastAsia" w:ascii="仿宋_GB2312" w:eastAsia="仿宋_GB2312"/>
          <w:sz w:val="32"/>
          <w:szCs w:val="32"/>
        </w:rPr>
        <w:t>。与上年相比，</w:t>
      </w:r>
      <w:r>
        <w:rPr>
          <w:rFonts w:hint="eastAsia" w:ascii="仿宋_GB2312" w:eastAsia="仿宋_GB2312"/>
          <w:sz w:val="32"/>
          <w:szCs w:val="32"/>
          <w:lang w:val="zh-CN"/>
        </w:rPr>
        <w:t>增加14.55万元</w:t>
      </w:r>
      <w:r>
        <w:rPr>
          <w:rFonts w:hint="eastAsia" w:ascii="仿宋_GB2312" w:eastAsia="仿宋_GB2312"/>
          <w:sz w:val="32"/>
          <w:szCs w:val="32"/>
        </w:rPr>
        <w:t>，</w:t>
      </w:r>
      <w:r>
        <w:rPr>
          <w:rFonts w:hint="eastAsia" w:ascii="仿宋_GB2312" w:eastAsia="仿宋_GB2312"/>
          <w:sz w:val="32"/>
          <w:szCs w:val="32"/>
          <w:lang w:val="zh-CN"/>
        </w:rPr>
        <w:t>增长4.34%，</w:t>
      </w:r>
      <w:r>
        <w:rPr>
          <w:rFonts w:hint="eastAsia" w:ascii="仿宋_GB2312" w:eastAsia="仿宋_GB2312"/>
          <w:sz w:val="32"/>
          <w:szCs w:val="32"/>
        </w:rPr>
        <w:t>主要原因是：实有在职人员人数增加及人员工资调增，导致人员经费较上年增加。与年初预算相比，年初预算数</w:t>
      </w:r>
      <w:r>
        <w:rPr>
          <w:rFonts w:hint="eastAsia" w:ascii="仿宋_GB2312" w:eastAsia="仿宋_GB2312"/>
          <w:sz w:val="32"/>
          <w:szCs w:val="32"/>
          <w:lang w:val="zh-CN"/>
        </w:rPr>
        <w:t>328.05</w:t>
      </w:r>
      <w:r>
        <w:rPr>
          <w:rFonts w:hint="eastAsia" w:ascii="仿宋_GB2312" w:eastAsia="仿宋_GB2312"/>
          <w:sz w:val="32"/>
          <w:szCs w:val="32"/>
        </w:rPr>
        <w:t>万元，决算数</w:t>
      </w:r>
      <w:r>
        <w:rPr>
          <w:rFonts w:hint="eastAsia" w:ascii="仿宋_GB2312" w:eastAsia="仿宋_GB2312"/>
          <w:sz w:val="32"/>
          <w:szCs w:val="32"/>
          <w:lang w:val="zh-CN"/>
        </w:rPr>
        <w:t>349.39</w:t>
      </w:r>
      <w:r>
        <w:rPr>
          <w:rFonts w:hint="eastAsia" w:ascii="仿宋_GB2312" w:eastAsia="仿宋_GB2312"/>
          <w:sz w:val="32"/>
          <w:szCs w:val="32"/>
        </w:rPr>
        <w:t>万元，预决算差异率</w:t>
      </w:r>
      <w:r>
        <w:rPr>
          <w:rFonts w:hint="eastAsia" w:ascii="仿宋_GB2312" w:eastAsia="仿宋_GB2312"/>
          <w:sz w:val="32"/>
          <w:szCs w:val="32"/>
          <w:lang w:val="zh-CN"/>
        </w:rPr>
        <w:t>6.50%</w:t>
      </w:r>
      <w:r>
        <w:rPr>
          <w:rFonts w:hint="eastAsia" w:ascii="仿宋_GB2312" w:eastAsia="仿宋_GB2312"/>
          <w:sz w:val="32"/>
          <w:szCs w:val="32"/>
        </w:rPr>
        <w:t>，主要原因是：实有在职人员人数增加及退休职工职业年金缴纳</w:t>
      </w:r>
      <w:r>
        <w:rPr>
          <w:rFonts w:hint="eastAsia" w:ascii="仿宋_GB2312" w:eastAsia="仿宋_GB2312"/>
          <w:sz w:val="32"/>
          <w:szCs w:val="32"/>
          <w:lang w:eastAsia="zh-CN"/>
        </w:rPr>
        <w:t>，预决算产生差异</w:t>
      </w:r>
      <w:r>
        <w:rPr>
          <w:rFonts w:hint="eastAsia" w:ascii="仿宋_GB2312" w:eastAsia="仿宋_GB2312"/>
          <w:sz w:val="32"/>
          <w:szCs w:val="32"/>
        </w:rPr>
        <w:t>。</w:t>
      </w:r>
    </w:p>
    <w:p w14:paraId="0C2C93CA">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528188A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 社会保障和就业支出（类）</w:t>
      </w:r>
      <w:r>
        <w:rPr>
          <w:rFonts w:hint="eastAsia" w:ascii="仿宋_GB2312" w:eastAsia="仿宋_GB2312"/>
          <w:kern w:val="2"/>
          <w:sz w:val="32"/>
          <w:szCs w:val="32"/>
          <w:lang w:val="zh-CN"/>
        </w:rPr>
        <w:t>34.23</w:t>
      </w:r>
      <w:r>
        <w:rPr>
          <w:rFonts w:ascii="仿宋_GB2312" w:eastAsia="仿宋_GB2312"/>
          <w:kern w:val="2"/>
          <w:sz w:val="32"/>
          <w:szCs w:val="32"/>
          <w:lang w:val="zh-CN"/>
        </w:rPr>
        <w:t>万元，占</w:t>
      </w:r>
      <w:r>
        <w:rPr>
          <w:rFonts w:hint="eastAsia" w:ascii="仿宋_GB2312" w:eastAsia="仿宋_GB2312"/>
          <w:kern w:val="2"/>
          <w:sz w:val="32"/>
          <w:szCs w:val="32"/>
          <w:lang w:val="zh-CN"/>
        </w:rPr>
        <w:t>9.80</w:t>
      </w:r>
      <w:r>
        <w:rPr>
          <w:rFonts w:ascii="仿宋_GB2312" w:eastAsia="仿宋_GB2312"/>
          <w:kern w:val="2"/>
          <w:sz w:val="32"/>
          <w:szCs w:val="32"/>
          <w:lang w:val="zh-CN"/>
        </w:rPr>
        <w:t xml:space="preserve">%； </w:t>
      </w:r>
    </w:p>
    <w:p w14:paraId="4A3BB209">
      <w:pPr>
        <w:pStyle w:val="8"/>
        <w:widowControl/>
        <w:spacing w:before="0" w:beforeAutospacing="0" w:after="0" w:afterAutospacing="0"/>
        <w:ind w:firstLine="640" w:firstLineChars="200"/>
        <w:rPr>
          <w:rFonts w:ascii="仿宋_GB2312" w:eastAsia="仿宋_GB2312"/>
          <w:kern w:val="2"/>
          <w:sz w:val="32"/>
          <w:szCs w:val="32"/>
        </w:rPr>
      </w:pPr>
      <w:r>
        <w:rPr>
          <w:rFonts w:ascii="仿宋_GB2312" w:eastAsia="仿宋_GB2312"/>
          <w:kern w:val="2"/>
          <w:sz w:val="32"/>
          <w:szCs w:val="32"/>
        </w:rPr>
        <w:t>2.</w:t>
      </w:r>
      <w:r>
        <w:rPr>
          <w:rFonts w:ascii="仿宋_GB2312" w:eastAsia="仿宋_GB2312"/>
          <w:kern w:val="2"/>
          <w:sz w:val="32"/>
          <w:szCs w:val="32"/>
          <w:lang w:val="zh-CN"/>
        </w:rPr>
        <w:t xml:space="preserve"> 卫生健康支出（类）</w:t>
      </w:r>
      <w:r>
        <w:rPr>
          <w:rFonts w:hint="eastAsia" w:ascii="仿宋_GB2312" w:eastAsia="仿宋_GB2312"/>
          <w:kern w:val="2"/>
          <w:sz w:val="32"/>
          <w:szCs w:val="32"/>
          <w:lang w:val="zh-CN"/>
        </w:rPr>
        <w:t>17.35</w:t>
      </w:r>
      <w:r>
        <w:rPr>
          <w:rFonts w:ascii="仿宋_GB2312" w:eastAsia="仿宋_GB2312"/>
          <w:kern w:val="2"/>
          <w:sz w:val="32"/>
          <w:szCs w:val="32"/>
          <w:lang w:val="zh-CN"/>
        </w:rPr>
        <w:t>万元，占</w:t>
      </w:r>
      <w:r>
        <w:rPr>
          <w:rFonts w:hint="eastAsia" w:ascii="仿宋_GB2312" w:eastAsia="仿宋_GB2312"/>
          <w:kern w:val="2"/>
          <w:sz w:val="32"/>
          <w:szCs w:val="32"/>
          <w:lang w:val="zh-CN"/>
        </w:rPr>
        <w:t>4.97</w:t>
      </w:r>
      <w:r>
        <w:rPr>
          <w:rFonts w:ascii="仿宋_GB2312" w:eastAsia="仿宋_GB2312"/>
          <w:kern w:val="2"/>
          <w:sz w:val="32"/>
          <w:szCs w:val="32"/>
          <w:lang w:val="zh-CN"/>
        </w:rPr>
        <w:t>%；</w:t>
      </w:r>
    </w:p>
    <w:p w14:paraId="21D20E2A">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3.自然资源海洋气象等支出（类）</w:t>
      </w:r>
      <w:r>
        <w:rPr>
          <w:rFonts w:hint="eastAsia" w:ascii="仿宋_GB2312" w:eastAsia="仿宋_GB2312"/>
          <w:kern w:val="2"/>
          <w:sz w:val="32"/>
          <w:szCs w:val="32"/>
          <w:lang w:val="zh-CN"/>
        </w:rPr>
        <w:t>283.98</w:t>
      </w:r>
      <w:r>
        <w:rPr>
          <w:rFonts w:ascii="仿宋_GB2312" w:eastAsia="仿宋_GB2312"/>
          <w:kern w:val="2"/>
          <w:sz w:val="32"/>
          <w:szCs w:val="32"/>
          <w:lang w:val="zh-CN"/>
        </w:rPr>
        <w:t>万元，占</w:t>
      </w:r>
      <w:r>
        <w:rPr>
          <w:rFonts w:hint="eastAsia" w:ascii="仿宋_GB2312" w:eastAsia="仿宋_GB2312"/>
          <w:kern w:val="2"/>
          <w:sz w:val="32"/>
          <w:szCs w:val="32"/>
          <w:lang w:val="zh-CN"/>
        </w:rPr>
        <w:t>81.28</w:t>
      </w:r>
      <w:r>
        <w:rPr>
          <w:rFonts w:ascii="仿宋_GB2312" w:eastAsia="仿宋_GB2312"/>
          <w:kern w:val="2"/>
          <w:sz w:val="32"/>
          <w:szCs w:val="32"/>
          <w:lang w:val="zh-CN"/>
        </w:rPr>
        <w:t>%；</w:t>
      </w:r>
    </w:p>
    <w:p w14:paraId="265DE0F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 住房保障支出（类）</w:t>
      </w:r>
      <w:r>
        <w:rPr>
          <w:rFonts w:hint="eastAsia" w:ascii="仿宋_GB2312" w:eastAsia="仿宋_GB2312"/>
          <w:kern w:val="2"/>
          <w:sz w:val="32"/>
          <w:szCs w:val="32"/>
          <w:lang w:val="zh-CN"/>
        </w:rPr>
        <w:t>13.84</w:t>
      </w:r>
      <w:r>
        <w:rPr>
          <w:rFonts w:ascii="仿宋_GB2312" w:eastAsia="仿宋_GB2312"/>
          <w:kern w:val="2"/>
          <w:sz w:val="32"/>
          <w:szCs w:val="32"/>
          <w:lang w:val="zh-CN"/>
        </w:rPr>
        <w:t>万元，占</w:t>
      </w:r>
      <w:r>
        <w:rPr>
          <w:rFonts w:hint="eastAsia" w:ascii="仿宋_GB2312" w:eastAsia="仿宋_GB2312"/>
          <w:kern w:val="2"/>
          <w:sz w:val="32"/>
          <w:szCs w:val="32"/>
          <w:lang w:val="zh-CN"/>
        </w:rPr>
        <w:t>3.96</w:t>
      </w:r>
      <w:r>
        <w:rPr>
          <w:rFonts w:ascii="仿宋_GB2312" w:eastAsia="仿宋_GB2312"/>
          <w:kern w:val="2"/>
          <w:sz w:val="32"/>
          <w:szCs w:val="32"/>
          <w:lang w:val="zh-CN"/>
        </w:rPr>
        <w:t>%；</w:t>
      </w:r>
    </w:p>
    <w:p w14:paraId="4F454F74">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0C35D2C9">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1.卫生健康支出（类）行政事业单位医疗（款）行政单位医疗（项）:支出决算数为9.28万元，比上年决算增加1.19万元，增长14.65%，主要原因是：</w:t>
      </w:r>
      <w:r>
        <w:rPr>
          <w:rFonts w:hint="eastAsia" w:ascii="仿宋_GB2312" w:eastAsia="仿宋_GB2312"/>
          <w:sz w:val="32"/>
          <w:szCs w:val="32"/>
        </w:rPr>
        <w:t>实有</w:t>
      </w:r>
      <w:r>
        <w:rPr>
          <w:rFonts w:hint="eastAsia" w:eastAsia="仿宋_GB2312"/>
          <w:sz w:val="32"/>
          <w:szCs w:val="32"/>
        </w:rPr>
        <w:t>在职</w:t>
      </w:r>
      <w:r>
        <w:rPr>
          <w:rFonts w:hint="eastAsia" w:eastAsia="仿宋_GB2312"/>
          <w:sz w:val="32"/>
          <w:szCs w:val="32"/>
          <w:lang w:val="zh-CN"/>
        </w:rPr>
        <w:t>人员人数增加，人员工资调增，导致</w:t>
      </w:r>
      <w:r>
        <w:rPr>
          <w:rFonts w:hint="eastAsia" w:eastAsia="仿宋_GB2312"/>
          <w:sz w:val="32"/>
          <w:szCs w:val="32"/>
        </w:rPr>
        <w:t>行政单位医疗</w:t>
      </w:r>
      <w:r>
        <w:rPr>
          <w:rFonts w:hint="eastAsia" w:eastAsia="仿宋_GB2312"/>
          <w:sz w:val="32"/>
          <w:szCs w:val="32"/>
          <w:lang w:val="zh-CN"/>
        </w:rPr>
        <w:t>基数增大，经费较上年增加。</w:t>
      </w:r>
    </w:p>
    <w:p w14:paraId="733174CF">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2.卫生健康支出（类）行政事业单位医疗（款）公务员医疗补助（项）:支出决算数为8.07万元，比上年决算增加1.78万元，增长28.29%，主要原因是：</w:t>
      </w:r>
      <w:r>
        <w:rPr>
          <w:rFonts w:hint="eastAsia" w:ascii="仿宋_GB2312" w:eastAsia="仿宋_GB2312"/>
          <w:sz w:val="32"/>
          <w:szCs w:val="32"/>
        </w:rPr>
        <w:t>实有</w:t>
      </w:r>
      <w:r>
        <w:rPr>
          <w:rFonts w:hint="eastAsia" w:eastAsia="仿宋_GB2312"/>
          <w:sz w:val="32"/>
          <w:szCs w:val="32"/>
        </w:rPr>
        <w:t>在职</w:t>
      </w:r>
      <w:r>
        <w:rPr>
          <w:rFonts w:hint="eastAsia" w:eastAsia="仿宋_GB2312"/>
          <w:sz w:val="32"/>
          <w:szCs w:val="32"/>
          <w:lang w:val="zh-CN"/>
        </w:rPr>
        <w:t>人员人数增加，工资调增，导致</w:t>
      </w:r>
      <w:r>
        <w:rPr>
          <w:rFonts w:hint="eastAsia" w:eastAsia="仿宋_GB2312"/>
          <w:sz w:val="32"/>
          <w:szCs w:val="32"/>
        </w:rPr>
        <w:t>公务员医疗补助</w:t>
      </w:r>
      <w:r>
        <w:rPr>
          <w:rFonts w:hint="eastAsia" w:eastAsia="仿宋_GB2312"/>
          <w:sz w:val="32"/>
          <w:szCs w:val="32"/>
          <w:lang w:val="zh-CN"/>
        </w:rPr>
        <w:t>基数增大，经费较上年增加。</w:t>
      </w:r>
    </w:p>
    <w:p w14:paraId="69902A42">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3.自然资源海洋气象等支出（类）自然资源事务（款）其他自然资源事务支出（项）:支出决算数为117.66万元，比上年决算减少12.34万元，下降9.49%，主要原因是：</w:t>
      </w:r>
      <w:r>
        <w:rPr>
          <w:rFonts w:hint="eastAsia" w:eastAsia="仿宋_GB2312"/>
          <w:sz w:val="32"/>
          <w:szCs w:val="32"/>
          <w:lang w:val="zh-CN"/>
        </w:rPr>
        <w:t>本着</w:t>
      </w:r>
      <w:r>
        <w:rPr>
          <w:rFonts w:hint="eastAsia" w:eastAsia="仿宋_GB2312"/>
          <w:sz w:val="32"/>
          <w:szCs w:val="32"/>
          <w:lang w:val="en-US" w:eastAsia="zh-CN"/>
        </w:rPr>
        <w:t>厉行</w:t>
      </w:r>
      <w:r>
        <w:rPr>
          <w:rFonts w:hint="eastAsia" w:eastAsia="仿宋_GB2312"/>
          <w:sz w:val="32"/>
          <w:szCs w:val="32"/>
          <w:lang w:val="zh-CN"/>
        </w:rPr>
        <w:t>节约的原则，有效控制了</w:t>
      </w:r>
      <w:r>
        <w:rPr>
          <w:rFonts w:hint="eastAsia" w:eastAsia="仿宋_GB2312"/>
          <w:sz w:val="32"/>
          <w:szCs w:val="32"/>
        </w:rPr>
        <w:t>其他自然资源事务支出</w:t>
      </w:r>
      <w:r>
        <w:rPr>
          <w:rFonts w:hint="eastAsia" w:eastAsia="仿宋_GB2312"/>
          <w:sz w:val="32"/>
          <w:szCs w:val="32"/>
          <w:lang w:val="zh-CN"/>
        </w:rPr>
        <w:t>。</w:t>
      </w:r>
    </w:p>
    <w:p w14:paraId="3A12685D">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w:t>
      </w:r>
      <w:bookmarkStart w:id="46" w:name="_GoBack"/>
      <w:bookmarkEnd w:id="46"/>
      <w:r>
        <w:rPr>
          <w:rFonts w:hint="eastAsia" w:eastAsia="仿宋_GB2312"/>
          <w:sz w:val="32"/>
          <w:szCs w:val="32"/>
        </w:rPr>
        <w:t>）:支出决算数为166.31万元，比上年决算增加12.59万元，增长8.19%，主要原因是：</w:t>
      </w:r>
      <w:r>
        <w:rPr>
          <w:rFonts w:hint="eastAsia" w:ascii="仿宋_GB2312" w:eastAsia="仿宋_GB2312"/>
          <w:sz w:val="32"/>
          <w:szCs w:val="32"/>
        </w:rPr>
        <w:t>实有</w:t>
      </w:r>
      <w:r>
        <w:rPr>
          <w:rFonts w:hint="eastAsia" w:eastAsia="仿宋_GB2312"/>
          <w:sz w:val="32"/>
          <w:szCs w:val="32"/>
        </w:rPr>
        <w:t>在职</w:t>
      </w:r>
      <w:r>
        <w:rPr>
          <w:rFonts w:hint="eastAsia" w:eastAsia="仿宋_GB2312"/>
          <w:sz w:val="32"/>
          <w:szCs w:val="32"/>
          <w:lang w:val="zh-CN"/>
        </w:rPr>
        <w:t>人员人数增加，人员工资调增，</w:t>
      </w:r>
      <w:r>
        <w:rPr>
          <w:rFonts w:hint="eastAsia" w:ascii="仿宋_GB2312" w:eastAsia="仿宋_GB2312"/>
          <w:sz w:val="32"/>
          <w:szCs w:val="32"/>
        </w:rPr>
        <w:t>执法办案经费增加</w:t>
      </w:r>
      <w:r>
        <w:rPr>
          <w:rFonts w:hint="eastAsia" w:eastAsia="仿宋_GB2312"/>
          <w:sz w:val="32"/>
          <w:szCs w:val="32"/>
          <w:lang w:val="zh-CN"/>
        </w:rPr>
        <w:t>。</w:t>
      </w:r>
    </w:p>
    <w:p w14:paraId="58F97EA7">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5.住房保障支出（类）住房改革支出（款）住房公积金（项）:支出决算数为13.84万元，比上年决算增加2.60万元，增长23.16%，主要原因是：</w:t>
      </w:r>
      <w:r>
        <w:rPr>
          <w:rFonts w:hint="eastAsia" w:ascii="仿宋_GB2312" w:eastAsia="仿宋_GB2312"/>
          <w:sz w:val="32"/>
          <w:szCs w:val="32"/>
        </w:rPr>
        <w:t>实有</w:t>
      </w:r>
      <w:r>
        <w:rPr>
          <w:rFonts w:hint="eastAsia" w:eastAsia="仿宋_GB2312"/>
          <w:sz w:val="32"/>
          <w:szCs w:val="32"/>
        </w:rPr>
        <w:t>在职</w:t>
      </w:r>
      <w:r>
        <w:rPr>
          <w:rFonts w:hint="eastAsia" w:eastAsia="仿宋_GB2312"/>
          <w:sz w:val="32"/>
          <w:szCs w:val="32"/>
          <w:lang w:val="zh-CN"/>
        </w:rPr>
        <w:t>人员人数增加，工资调增，导致</w:t>
      </w:r>
      <w:r>
        <w:rPr>
          <w:rFonts w:hint="eastAsia" w:eastAsia="仿宋_GB2312"/>
          <w:sz w:val="32"/>
          <w:szCs w:val="32"/>
        </w:rPr>
        <w:t>住房公积金</w:t>
      </w:r>
      <w:r>
        <w:rPr>
          <w:rFonts w:hint="eastAsia" w:eastAsia="仿宋_GB2312"/>
          <w:sz w:val="32"/>
          <w:szCs w:val="32"/>
          <w:lang w:val="zh-CN"/>
        </w:rPr>
        <w:t>基数增大，经费较上年增加。</w:t>
      </w:r>
    </w:p>
    <w:p w14:paraId="375E3E84">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6.社会保障和就业支出（类）行政事业单位养老支出（款）行政单位离退休（项）:支出决算数为9.90万元，比上年决算减少0.62万元，下降5.88%，主要原因是：从2023年开始单位不在承担退休人员的医疗费</w:t>
      </w:r>
      <w:r>
        <w:rPr>
          <w:rFonts w:hint="eastAsia" w:eastAsia="仿宋_GB2312"/>
          <w:sz w:val="32"/>
          <w:szCs w:val="32"/>
          <w:lang w:val="zh-CN"/>
        </w:rPr>
        <w:t>。</w:t>
      </w:r>
    </w:p>
    <w:p w14:paraId="3197BD92">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7.社会保障和就业支出（类）行政事业单位养老支出（款）机关事业单位职业年金缴费支出（项）:支出决算数为5.87万元，比上年决算增加5.87万元，增长100</w:t>
      </w:r>
      <w:r>
        <w:rPr>
          <w:rFonts w:hint="eastAsia" w:eastAsia="仿宋_GB2312"/>
          <w:sz w:val="32"/>
          <w:szCs w:val="32"/>
          <w:lang w:val="en-US" w:eastAsia="zh-CN"/>
        </w:rPr>
        <w:t>.00</w:t>
      </w:r>
      <w:r>
        <w:rPr>
          <w:rFonts w:hint="eastAsia" w:eastAsia="仿宋_GB2312"/>
          <w:sz w:val="32"/>
          <w:szCs w:val="32"/>
        </w:rPr>
        <w:t>%，主要原因是：</w:t>
      </w:r>
      <w:r>
        <w:rPr>
          <w:rFonts w:hint="eastAsia" w:ascii="仿宋_GB2312" w:eastAsia="仿宋_GB2312"/>
          <w:sz w:val="32"/>
          <w:szCs w:val="32"/>
          <w:lang w:eastAsia="zh-CN"/>
        </w:rPr>
        <w:t>职业年金坐实</w:t>
      </w:r>
      <w:r>
        <w:rPr>
          <w:rFonts w:hint="eastAsia" w:eastAsia="仿宋_GB2312"/>
          <w:sz w:val="32"/>
          <w:szCs w:val="32"/>
          <w:lang w:val="zh-CN"/>
        </w:rPr>
        <w:t>。</w:t>
      </w:r>
    </w:p>
    <w:p w14:paraId="0DA8CAA1">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8.社会保障和就业支出（类）行政事业单位养老支出（款）机关事业单位基本养老保险缴费支出（项）:支出决算数为18.45万元，比上年决算增加3.47万元，增长23.16%，主要原因是：</w:t>
      </w:r>
      <w:r>
        <w:rPr>
          <w:rFonts w:hint="eastAsia" w:ascii="仿宋_GB2312" w:eastAsia="仿宋_GB2312"/>
          <w:sz w:val="32"/>
          <w:szCs w:val="32"/>
        </w:rPr>
        <w:t>实有</w:t>
      </w:r>
      <w:r>
        <w:rPr>
          <w:rFonts w:hint="eastAsia" w:eastAsia="仿宋_GB2312"/>
          <w:sz w:val="32"/>
          <w:szCs w:val="32"/>
        </w:rPr>
        <w:t>在职</w:t>
      </w:r>
      <w:r>
        <w:rPr>
          <w:rFonts w:hint="eastAsia" w:eastAsia="仿宋_GB2312"/>
          <w:sz w:val="32"/>
          <w:szCs w:val="32"/>
          <w:lang w:val="zh-CN"/>
        </w:rPr>
        <w:t>人员人数增加，工资调增，导致</w:t>
      </w:r>
      <w:r>
        <w:rPr>
          <w:rFonts w:hint="eastAsia" w:eastAsia="仿宋_GB2312"/>
          <w:sz w:val="32"/>
          <w:szCs w:val="32"/>
        </w:rPr>
        <w:t>基本养老保险缴费</w:t>
      </w:r>
      <w:r>
        <w:rPr>
          <w:rFonts w:hint="eastAsia" w:eastAsia="仿宋_GB2312"/>
          <w:sz w:val="32"/>
          <w:szCs w:val="32"/>
          <w:lang w:val="zh-CN"/>
        </w:rPr>
        <w:t>基数增大，经费较上年增加。</w:t>
      </w:r>
    </w:p>
    <w:p w14:paraId="65D5A8F9">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831949F">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231.73万元，其中：人员经费218.96万元，包括：基本工资、津贴补贴、奖金、机关事业单位基本养老保险缴费、职业年金缴费、职工基本医疗保险缴费、公务员医疗补助缴费、其他社会保障缴费、住房公积金、其他工资福利支出、退休费、其他对个人和家庭的补助。</w:t>
      </w:r>
    </w:p>
    <w:p w14:paraId="09325355">
      <w:pPr>
        <w:ind w:firstLine="640" w:firstLineChars="200"/>
        <w:jc w:val="left"/>
        <w:rPr>
          <w:rFonts w:ascii="仿宋_GB2312" w:eastAsia="仿宋_GB2312"/>
          <w:sz w:val="32"/>
          <w:szCs w:val="32"/>
        </w:rPr>
      </w:pPr>
      <w:r>
        <w:rPr>
          <w:rFonts w:hint="eastAsia" w:ascii="仿宋_GB2312" w:eastAsia="仿宋_GB2312"/>
          <w:sz w:val="32"/>
          <w:szCs w:val="32"/>
        </w:rPr>
        <w:t>公用经费12.77万元，包括：办公费、邮电费、物业管理费、差旅费、工会经费、福利费、其他交通费用、其他商品和服务支出。</w:t>
      </w:r>
    </w:p>
    <w:p w14:paraId="7EE68B9A">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6DE72E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w:t>
      </w:r>
      <w:r>
        <w:rPr>
          <w:rFonts w:hint="eastAsia" w:ascii="仿宋_GB2312" w:eastAsia="仿宋_GB2312"/>
          <w:sz w:val="32"/>
          <w:szCs w:val="32"/>
          <w:lang w:val="zh-CN"/>
        </w:rPr>
        <w:t>因公出国（境）费支出；公务用车购置及运行维护费支出0.00万元，占0.00%，比上年增加0.00万元，增长0.00%，主要原因是：</w:t>
      </w:r>
      <w:r>
        <w:rPr>
          <w:rFonts w:ascii="仿宋_GB2312" w:eastAsia="仿宋_GB2312"/>
          <w:sz w:val="32"/>
          <w:szCs w:val="32"/>
        </w:rPr>
        <w:t>我单位无</w:t>
      </w:r>
      <w:r>
        <w:rPr>
          <w:rFonts w:hint="eastAsia" w:ascii="仿宋_GB2312" w:eastAsia="仿宋_GB2312"/>
          <w:sz w:val="32"/>
          <w:szCs w:val="32"/>
          <w:lang w:val="zh-CN"/>
        </w:rPr>
        <w:t>公务用车购置及运行维护费支出；公务接待费支出0.00万元，占0.00%，比上年增加0.00万元，增长0.00%，主要原因是：</w:t>
      </w:r>
      <w:r>
        <w:rPr>
          <w:rFonts w:ascii="仿宋_GB2312" w:eastAsia="仿宋_GB2312"/>
          <w:sz w:val="32"/>
          <w:szCs w:val="32"/>
        </w:rPr>
        <w:t>我单位无</w:t>
      </w:r>
      <w:r>
        <w:rPr>
          <w:rFonts w:hint="eastAsia" w:ascii="仿宋_GB2312" w:eastAsia="仿宋_GB2312"/>
          <w:sz w:val="32"/>
          <w:szCs w:val="32"/>
          <w:lang w:val="zh-CN"/>
        </w:rPr>
        <w:t>公务接待费支出。</w:t>
      </w:r>
    </w:p>
    <w:p w14:paraId="127A5C2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FEE3AF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ascii="仿宋_GB2312" w:eastAsia="仿宋_GB2312"/>
          <w:sz w:val="32"/>
          <w:szCs w:val="32"/>
        </w:rPr>
        <w:t>我单位无</w:t>
      </w:r>
      <w:r>
        <w:rPr>
          <w:rFonts w:hint="eastAsia" w:ascii="仿宋_GB2312" w:eastAsia="仿宋_GB2312"/>
          <w:sz w:val="32"/>
          <w:szCs w:val="32"/>
          <w:lang w:val="zh-CN"/>
        </w:rPr>
        <w:t>因公出国（境）费支出。单位全年安排的因公出国（境）团组0个，因公出国（境）0人次。</w:t>
      </w:r>
    </w:p>
    <w:p w14:paraId="5F76D39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ascii="仿宋_GB2312" w:eastAsia="仿宋_GB2312"/>
          <w:sz w:val="32"/>
          <w:szCs w:val="32"/>
        </w:rPr>
        <w:t>我单位无</w:t>
      </w:r>
      <w:r>
        <w:rPr>
          <w:rFonts w:hint="eastAsia" w:ascii="仿宋_GB2312" w:eastAsia="仿宋_GB2312"/>
          <w:sz w:val="32"/>
          <w:szCs w:val="32"/>
          <w:lang w:val="zh-CN"/>
        </w:rPr>
        <w:t>公务用车运行维护费支出。公务用车购置数0辆，公务用车保有量0辆。国有资产占用情况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固定资产车辆</w:t>
      </w:r>
      <w:r>
        <w:rPr>
          <w:rFonts w:hint="eastAsia" w:ascii="仿宋_GB2312" w:eastAsia="仿宋_GB2312"/>
          <w:sz w:val="32"/>
          <w:szCs w:val="32"/>
          <w:lang w:val="zh-CN"/>
        </w:rPr>
        <w:t>2辆车用于</w:t>
      </w:r>
      <w:r>
        <w:rPr>
          <w:rFonts w:hint="eastAsia" w:ascii="仿宋_GB2312" w:eastAsia="仿宋_GB2312"/>
          <w:sz w:val="32"/>
          <w:szCs w:val="32"/>
        </w:rPr>
        <w:t>日常执法用车及其他业务用车</w:t>
      </w:r>
      <w:r>
        <w:rPr>
          <w:rFonts w:hint="eastAsia" w:ascii="仿宋_GB2312" w:eastAsia="仿宋_GB2312"/>
          <w:sz w:val="32"/>
          <w:szCs w:val="32"/>
          <w:lang w:val="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14:paraId="5DC17F6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公务接待费0.00万元，开支内容包括我单位无公务接待费支出。单位全年安排的国内公务接待0批次，0人次。</w:t>
      </w:r>
    </w:p>
    <w:p w14:paraId="7E8E4B9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预算数0.00万元，决算数0.00万元，预决算差异率0.00%，主要原因是：我单位无财政拨款“三公”经费支出。其中：因公出国（境）费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0.00万元，决算数0.00万元，预决算差异率0.00%，主要原因是：我单位无因公出国（境）费支出；公务用车购置费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预算数0.00万元，决算数0.00万元，预决算差异率0.00%，主要原因是：我单位无公务用车购置费支出；公务用车运行费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预算数0.00万元，决算数0.00万元，预决算差异率0.00%，主要原因是：我单位无公务用车运行费支出；公务接待费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预算数0.00万元，决算数0.00万元，预决算差异率0.00%，主要原因是：我单位无公务接待费支出。</w:t>
      </w:r>
    </w:p>
    <w:p w14:paraId="799CEE5B">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62DFACA">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DF7A44E">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6EDC8E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106EF3E">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3758ABD">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17879E6B">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乌鲁木齐县国土资源执法监察大队（行政单位和参照公务员法管理事业单位）机关运行经费支出12.77万元，比上年减少1.82万元，下降12.48%，主要原因是：本着厉行节约的原则，减少机关运行经费支出。</w:t>
      </w:r>
    </w:p>
    <w:p w14:paraId="229E3E7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0E58F4F">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14:paraId="06106BB2">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14:paraId="43DA1B1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9C8600C">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1,203.78</w:t>
      </w:r>
      <w:r>
        <w:rPr>
          <w:rFonts w:hint="eastAsia" w:eastAsia="仿宋_GB2312"/>
          <w:sz w:val="32"/>
          <w:szCs w:val="32"/>
        </w:rPr>
        <w:t>万元，房</w:t>
      </w:r>
      <w:r>
        <w:rPr>
          <w:rFonts w:hint="eastAsia" w:eastAsia="仿宋_GB2312"/>
          <w:sz w:val="32"/>
          <w:szCs w:val="32"/>
          <w:lang w:val="zh-CN"/>
        </w:rPr>
        <w:t>屋929.18平方米，价值1,052.64万元。车辆2辆，价值37.88万元，其中：副部（省）级及以上领导用车0辆、主要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用车0辆、其他用车2辆，其他用车主要是：</w:t>
      </w:r>
      <w:r>
        <w:rPr>
          <w:rFonts w:hint="eastAsia" w:ascii="仿宋_GB2312" w:eastAsia="仿宋_GB2312"/>
          <w:sz w:val="32"/>
          <w:szCs w:val="32"/>
        </w:rPr>
        <w:t>日常执法用车及其他业务用车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14:paraId="6BFD3B8E">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40BD86A8">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14:paraId="69E0BD0F">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75CC55A">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授予中小企业合同金额、授予小微企业合同金额为0.00万元，主要原因是：我单位为自治区垂直管理单位，不在自治区集中采购范围内，所以无政府采购相关情况</w:t>
      </w:r>
      <w:r>
        <w:rPr>
          <w:rFonts w:hint="eastAsia" w:ascii="仿宋_GB2312" w:hAnsi="仿宋_GB2312" w:eastAsia="仿宋_GB2312" w:cs="仿宋_GB2312"/>
          <w:kern w:val="0"/>
          <w:sz w:val="32"/>
          <w:szCs w:val="32"/>
        </w:rPr>
        <w:t>。</w:t>
      </w:r>
    </w:p>
    <w:p w14:paraId="05FAA735">
      <w:pPr>
        <w:outlineLvl w:val="1"/>
        <w:rPr>
          <w:rFonts w:ascii="黑体" w:hAnsi="黑体" w:eastAsia="黑体" w:cs="宋体"/>
          <w:bCs/>
          <w:kern w:val="0"/>
          <w:sz w:val="32"/>
          <w:szCs w:val="32"/>
        </w:rPr>
      </w:pPr>
    </w:p>
    <w:p w14:paraId="506F2606">
      <w:pPr>
        <w:outlineLvl w:val="1"/>
        <w:rPr>
          <w:rFonts w:ascii="黑体" w:hAnsi="黑体" w:eastAsia="黑体" w:cs="宋体"/>
          <w:bCs/>
          <w:kern w:val="0"/>
          <w:sz w:val="32"/>
          <w:szCs w:val="32"/>
        </w:rPr>
      </w:pPr>
    </w:p>
    <w:p w14:paraId="7A94498D">
      <w:pPr>
        <w:outlineLvl w:val="1"/>
        <w:rPr>
          <w:rFonts w:ascii="黑体" w:hAnsi="黑体" w:eastAsia="黑体" w:cs="宋体"/>
          <w:bCs/>
          <w:kern w:val="0"/>
          <w:sz w:val="32"/>
          <w:szCs w:val="32"/>
        </w:rPr>
      </w:pPr>
    </w:p>
    <w:p w14:paraId="35C94FC9">
      <w:pPr>
        <w:outlineLvl w:val="1"/>
        <w:rPr>
          <w:rFonts w:ascii="黑体" w:hAnsi="黑体" w:eastAsia="黑体" w:cs="宋体"/>
          <w:bCs/>
          <w:kern w:val="0"/>
          <w:sz w:val="32"/>
          <w:szCs w:val="32"/>
        </w:rPr>
      </w:pPr>
    </w:p>
    <w:p w14:paraId="609F6DC7">
      <w:pPr>
        <w:outlineLvl w:val="1"/>
        <w:rPr>
          <w:rFonts w:ascii="黑体" w:hAnsi="黑体" w:eastAsia="黑体" w:cs="宋体"/>
          <w:bCs/>
          <w:kern w:val="0"/>
          <w:sz w:val="32"/>
          <w:szCs w:val="32"/>
        </w:rPr>
      </w:pPr>
    </w:p>
    <w:p w14:paraId="1C1FF790">
      <w:pPr>
        <w:outlineLvl w:val="1"/>
        <w:rPr>
          <w:rFonts w:ascii="黑体" w:hAnsi="黑体" w:eastAsia="黑体" w:cs="宋体"/>
          <w:bCs/>
          <w:kern w:val="0"/>
          <w:sz w:val="32"/>
          <w:szCs w:val="32"/>
        </w:rPr>
      </w:pPr>
    </w:p>
    <w:p w14:paraId="11E3B235">
      <w:pPr>
        <w:outlineLvl w:val="1"/>
        <w:rPr>
          <w:rFonts w:ascii="黑体" w:hAnsi="黑体" w:eastAsia="黑体" w:cs="宋体"/>
          <w:bCs/>
          <w:kern w:val="0"/>
          <w:sz w:val="32"/>
          <w:szCs w:val="32"/>
        </w:rPr>
      </w:pPr>
    </w:p>
    <w:p w14:paraId="1FC45D28">
      <w:pPr>
        <w:ind w:firstLine="2240" w:firstLineChars="700"/>
        <w:outlineLvl w:val="0"/>
        <w:rPr>
          <w:rFonts w:ascii="黑体" w:hAnsi="黑体" w:eastAsia="黑体"/>
          <w:sz w:val="32"/>
          <w:szCs w:val="32"/>
        </w:rPr>
      </w:pPr>
      <w:r>
        <w:rPr>
          <w:rFonts w:hint="eastAsia" w:ascii="黑体" w:hAnsi="黑体" w:eastAsia="黑体"/>
          <w:sz w:val="32"/>
          <w:szCs w:val="32"/>
        </w:rPr>
        <w:t>第三部分 专业名词解释</w:t>
      </w:r>
    </w:p>
    <w:p w14:paraId="57BC822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32600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9E7E1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02BC53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B6AD18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509B9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83CCE0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26309A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90A10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6F2D3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638B23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CDC6BF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C230E8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6CDB5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5470CCA">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C7341AC">
      <w:pPr>
        <w:ind w:firstLine="640" w:firstLineChars="200"/>
        <w:outlineLvl w:val="1"/>
        <w:rPr>
          <w:rFonts w:ascii="黑体" w:hAnsi="黑体" w:eastAsia="仿宋_GB2312" w:cs="宋体"/>
          <w:bCs/>
          <w:kern w:val="0"/>
          <w:sz w:val="32"/>
          <w:szCs w:val="32"/>
        </w:rPr>
      </w:pPr>
      <w:bookmarkStart w:id="30" w:name="_Toc6062"/>
      <w:bookmarkStart w:id="31" w:name="_Toc2183"/>
      <w:r>
        <w:rPr>
          <w:rFonts w:hint="eastAsia" w:ascii="黑体" w:hAnsi="黑体" w:eastAsia="仿宋_GB2312" w:cs="宋体"/>
          <w:bCs/>
          <w:kern w:val="0"/>
          <w:sz w:val="32"/>
          <w:szCs w:val="32"/>
        </w:rPr>
        <w:t>一、《收入支出决算总表》</w:t>
      </w:r>
      <w:bookmarkEnd w:id="30"/>
      <w:bookmarkEnd w:id="31"/>
    </w:p>
    <w:p w14:paraId="4E0210AE">
      <w:pPr>
        <w:ind w:firstLine="640" w:firstLineChars="200"/>
        <w:outlineLvl w:val="1"/>
        <w:rPr>
          <w:rFonts w:ascii="黑体" w:hAnsi="黑体" w:eastAsia="仿宋_GB2312" w:cs="宋体"/>
          <w:bCs/>
          <w:kern w:val="0"/>
          <w:sz w:val="32"/>
          <w:szCs w:val="32"/>
        </w:rPr>
      </w:pPr>
      <w:bookmarkStart w:id="32" w:name="_Toc30364"/>
      <w:bookmarkStart w:id="33" w:name="_Toc24532"/>
      <w:r>
        <w:rPr>
          <w:rFonts w:hint="eastAsia" w:ascii="黑体" w:hAnsi="黑体" w:eastAsia="仿宋_GB2312" w:cs="宋体"/>
          <w:bCs/>
          <w:kern w:val="0"/>
          <w:sz w:val="32"/>
          <w:szCs w:val="32"/>
        </w:rPr>
        <w:t>二、《收入决算表》</w:t>
      </w:r>
      <w:bookmarkEnd w:id="32"/>
      <w:bookmarkEnd w:id="33"/>
    </w:p>
    <w:p w14:paraId="37929B0D">
      <w:pPr>
        <w:ind w:firstLine="640" w:firstLineChars="200"/>
        <w:outlineLvl w:val="1"/>
        <w:rPr>
          <w:rFonts w:ascii="黑体" w:hAnsi="黑体" w:eastAsia="仿宋_GB2312" w:cs="宋体"/>
          <w:bCs/>
          <w:kern w:val="0"/>
          <w:sz w:val="32"/>
          <w:szCs w:val="32"/>
        </w:rPr>
      </w:pPr>
      <w:bookmarkStart w:id="34" w:name="_Toc32434"/>
      <w:bookmarkStart w:id="35" w:name="_Toc21304"/>
      <w:r>
        <w:rPr>
          <w:rFonts w:hint="eastAsia" w:ascii="黑体" w:hAnsi="黑体" w:eastAsia="仿宋_GB2312" w:cs="宋体"/>
          <w:bCs/>
          <w:kern w:val="0"/>
          <w:sz w:val="32"/>
          <w:szCs w:val="32"/>
        </w:rPr>
        <w:t>三、《支出决算表》</w:t>
      </w:r>
      <w:bookmarkEnd w:id="34"/>
      <w:bookmarkEnd w:id="35"/>
    </w:p>
    <w:p w14:paraId="67BD761F">
      <w:pPr>
        <w:ind w:firstLine="640" w:firstLineChars="200"/>
        <w:outlineLvl w:val="1"/>
        <w:rPr>
          <w:rFonts w:ascii="黑体" w:hAnsi="黑体" w:eastAsia="仿宋_GB2312" w:cs="宋体"/>
          <w:bCs/>
          <w:kern w:val="0"/>
          <w:sz w:val="32"/>
          <w:szCs w:val="32"/>
        </w:rPr>
      </w:pPr>
      <w:bookmarkStart w:id="36" w:name="_Toc28786"/>
      <w:bookmarkStart w:id="37" w:name="_Toc14238"/>
      <w:r>
        <w:rPr>
          <w:rFonts w:hint="eastAsia" w:ascii="黑体" w:hAnsi="黑体" w:eastAsia="仿宋_GB2312" w:cs="宋体"/>
          <w:bCs/>
          <w:kern w:val="0"/>
          <w:sz w:val="32"/>
          <w:szCs w:val="32"/>
        </w:rPr>
        <w:t>四、《财政拨款收入支出决算总表》</w:t>
      </w:r>
      <w:bookmarkEnd w:id="36"/>
      <w:bookmarkEnd w:id="37"/>
    </w:p>
    <w:p w14:paraId="4DA94FE9">
      <w:pPr>
        <w:ind w:firstLine="640" w:firstLineChars="200"/>
        <w:outlineLvl w:val="1"/>
        <w:rPr>
          <w:rFonts w:ascii="黑体" w:hAnsi="黑体" w:eastAsia="仿宋_GB2312" w:cs="宋体"/>
          <w:bCs/>
          <w:kern w:val="0"/>
          <w:sz w:val="32"/>
          <w:szCs w:val="32"/>
        </w:rPr>
      </w:pPr>
      <w:bookmarkStart w:id="38" w:name="_Toc14869"/>
      <w:bookmarkStart w:id="39" w:name="_Toc10347"/>
      <w:r>
        <w:rPr>
          <w:rFonts w:hint="eastAsia" w:ascii="黑体" w:hAnsi="黑体" w:eastAsia="仿宋_GB2312" w:cs="宋体"/>
          <w:bCs/>
          <w:kern w:val="0"/>
          <w:sz w:val="32"/>
          <w:szCs w:val="32"/>
        </w:rPr>
        <w:t>五、《一般公共预算财政拨款支出决算表》</w:t>
      </w:r>
      <w:bookmarkEnd w:id="38"/>
      <w:bookmarkEnd w:id="39"/>
    </w:p>
    <w:p w14:paraId="51A49AB6">
      <w:pPr>
        <w:ind w:firstLine="640" w:firstLineChars="200"/>
        <w:outlineLvl w:val="1"/>
        <w:rPr>
          <w:rFonts w:ascii="黑体" w:hAnsi="黑体" w:eastAsia="仿宋_GB2312" w:cs="宋体"/>
          <w:bCs/>
          <w:kern w:val="0"/>
          <w:sz w:val="32"/>
          <w:szCs w:val="32"/>
        </w:rPr>
      </w:pPr>
      <w:bookmarkStart w:id="40" w:name="_Toc5626"/>
      <w:bookmarkStart w:id="41" w:name="_Toc8884"/>
      <w:r>
        <w:rPr>
          <w:rFonts w:hint="eastAsia" w:ascii="黑体" w:hAnsi="黑体" w:eastAsia="仿宋_GB2312" w:cs="宋体"/>
          <w:bCs/>
          <w:kern w:val="0"/>
          <w:sz w:val="32"/>
          <w:szCs w:val="32"/>
        </w:rPr>
        <w:t>六、《一般公共预算财政拨款基本支出决算表》</w:t>
      </w:r>
      <w:bookmarkEnd w:id="40"/>
      <w:bookmarkEnd w:id="41"/>
    </w:p>
    <w:p w14:paraId="6BA00EC1">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2" w:name="_Toc32663"/>
      <w:bookmarkStart w:id="43" w:name="_Toc29106"/>
      <w:r>
        <w:rPr>
          <w:rFonts w:hint="eastAsia" w:ascii="黑体" w:hAnsi="黑体" w:eastAsia="仿宋_GB2312" w:cs="宋体"/>
          <w:bCs/>
          <w:kern w:val="0"/>
          <w:sz w:val="32"/>
          <w:szCs w:val="32"/>
        </w:rPr>
        <w:t>《财政拨款“三公”经费支出决算表》</w:t>
      </w:r>
      <w:bookmarkEnd w:id="42"/>
      <w:bookmarkEnd w:id="43"/>
    </w:p>
    <w:p w14:paraId="645DD2C3">
      <w:pPr>
        <w:ind w:firstLine="640" w:firstLineChars="200"/>
        <w:outlineLvl w:val="1"/>
        <w:rPr>
          <w:rFonts w:ascii="黑体" w:hAnsi="黑体" w:eastAsia="仿宋_GB2312" w:cs="宋体"/>
          <w:bCs/>
          <w:kern w:val="0"/>
          <w:sz w:val="32"/>
          <w:szCs w:val="32"/>
        </w:rPr>
      </w:pPr>
      <w:bookmarkStart w:id="44" w:name="_Toc5453"/>
      <w:bookmarkStart w:id="45" w:name="_Toc7643"/>
      <w:r>
        <w:rPr>
          <w:rFonts w:hint="eastAsia" w:ascii="黑体" w:hAnsi="黑体" w:eastAsia="仿宋_GB2312" w:cs="宋体"/>
          <w:bCs/>
          <w:kern w:val="0"/>
          <w:sz w:val="32"/>
          <w:szCs w:val="32"/>
        </w:rPr>
        <w:t>八、《政府性基金预算财政拨款收入支出决算表》</w:t>
      </w:r>
      <w:bookmarkEnd w:id="44"/>
      <w:bookmarkEnd w:id="45"/>
    </w:p>
    <w:p w14:paraId="0C2932A0">
      <w:pPr>
        <w:ind w:firstLine="640" w:firstLineChars="200"/>
        <w:outlineLvl w:val="1"/>
        <w:rPr>
          <w:rFonts w:ascii="黑体" w:hAnsi="黑体" w:eastAsia="黑体" w:cs="宋体"/>
          <w:bCs/>
          <w:kern w:val="0"/>
          <w:sz w:val="32"/>
          <w:szCs w:val="32"/>
        </w:rPr>
      </w:pPr>
      <w:r>
        <w:rPr>
          <w:rFonts w:hint="eastAsia" w:ascii="黑体" w:hAnsi="黑体" w:eastAsia="仿宋_GB2312" w:cs="宋体"/>
          <w:bCs/>
          <w:kern w:val="0"/>
          <w:sz w:val="32"/>
          <w:szCs w:val="32"/>
        </w:rPr>
        <w:t>九、《国有资本经营预算财政拨款收入支出决算表》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09127">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9E16985">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FkMjQ3OGU2MjBlNjM3N2RmNjBiMTAyZGM5MWY4OWMifQ=="/>
    <w:docVar w:name="KSO_WPS_MARK_KEY" w:val="41ee2a61-2d54-4f93-83be-afdb9a40d732"/>
  </w:docVars>
  <w:rsids>
    <w:rsidRoot w:val="00941727"/>
    <w:rsid w:val="000142F5"/>
    <w:rsid w:val="0007088D"/>
    <w:rsid w:val="00192879"/>
    <w:rsid w:val="00197351"/>
    <w:rsid w:val="00213C59"/>
    <w:rsid w:val="0024777F"/>
    <w:rsid w:val="0028254E"/>
    <w:rsid w:val="003210CE"/>
    <w:rsid w:val="00341ACD"/>
    <w:rsid w:val="004112CF"/>
    <w:rsid w:val="004225B8"/>
    <w:rsid w:val="00443941"/>
    <w:rsid w:val="00444752"/>
    <w:rsid w:val="00491CD4"/>
    <w:rsid w:val="005863E6"/>
    <w:rsid w:val="005C10DF"/>
    <w:rsid w:val="00790DA9"/>
    <w:rsid w:val="0083765B"/>
    <w:rsid w:val="008E7F63"/>
    <w:rsid w:val="00941727"/>
    <w:rsid w:val="00A52349"/>
    <w:rsid w:val="00A55F9B"/>
    <w:rsid w:val="00B31F3F"/>
    <w:rsid w:val="00B47D14"/>
    <w:rsid w:val="00B70866"/>
    <w:rsid w:val="00B70D59"/>
    <w:rsid w:val="00BC79CA"/>
    <w:rsid w:val="00C546AE"/>
    <w:rsid w:val="00C9468D"/>
    <w:rsid w:val="00D27FA8"/>
    <w:rsid w:val="00EC29BA"/>
    <w:rsid w:val="00ED0C12"/>
    <w:rsid w:val="00F35DBC"/>
    <w:rsid w:val="00F41621"/>
    <w:rsid w:val="00F52A8D"/>
    <w:rsid w:val="00F702AE"/>
    <w:rsid w:val="00FA68B8"/>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B625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155DD8"/>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AC49D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032FC5"/>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DB2738"/>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7DA4235"/>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5371</Words>
  <Characters>5988</Characters>
  <Lines>48</Lines>
  <Paragraphs>13</Paragraphs>
  <TotalTime>0</TotalTime>
  <ScaleCrop>false</ScaleCrop>
  <LinksUpToDate>false</LinksUpToDate>
  <CharactersWithSpaces>6014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悦己</cp:lastModifiedBy>
  <dcterms:modified xsi:type="dcterms:W3CDTF">2024-09-12T10:19:26Z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