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66D44F">
      <w:pPr>
        <w:keepNext w:val="0"/>
        <w:keepLines w:val="0"/>
        <w:pageBreakBefore w:val="0"/>
        <w:widowControl w:val="0"/>
        <w:kinsoku/>
        <w:wordWrap/>
        <w:overflowPunct/>
        <w:topLinePunct w:val="0"/>
        <w:bidi w:val="0"/>
        <w:adjustRightInd/>
        <w:snapToGrid/>
        <w:spacing w:line="240" w:lineRule="auto"/>
        <w:textAlignment w:val="auto"/>
        <w:rPr>
          <w:rFonts w:ascii="黑体" w:hAnsi="黑体" w:eastAsia="黑体"/>
          <w:color w:val="auto"/>
          <w:sz w:val="32"/>
          <w:szCs w:val="32"/>
          <w:highlight w:val="none"/>
        </w:rPr>
      </w:pPr>
    </w:p>
    <w:p w14:paraId="01E30709">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14:paraId="4239C8E3">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lang w:val="en-US" w:eastAsia="zh-CN"/>
        </w:rPr>
      </w:pPr>
      <w:r>
        <w:rPr>
          <w:rFonts w:hint="eastAsia" w:ascii="方正小标宋_GBK" w:hAnsi="宋体" w:eastAsia="方正小标宋_GBK"/>
          <w:color w:val="auto"/>
          <w:sz w:val="44"/>
          <w:szCs w:val="44"/>
          <w:highlight w:val="none"/>
          <w:lang w:val="en-US" w:eastAsia="zh-CN"/>
        </w:rPr>
        <w:t>乌鲁木齐市国土资源执法监察支队（本级）</w:t>
      </w:r>
    </w:p>
    <w:p w14:paraId="71F63066">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lang w:eastAsia="zh-CN"/>
        </w:rPr>
        <w:t xml:space="preserve"> 2023年度</w:t>
      </w:r>
      <w:r>
        <w:rPr>
          <w:rFonts w:hint="eastAsia" w:ascii="方正小标宋_GBK" w:hAnsi="宋体" w:eastAsia="方正小标宋_GBK"/>
          <w:color w:val="auto"/>
          <w:sz w:val="44"/>
          <w:szCs w:val="44"/>
          <w:highlight w:val="none"/>
        </w:rPr>
        <w:t>部门决算</w:t>
      </w:r>
    </w:p>
    <w:p w14:paraId="691B5553">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t>公开说明</w:t>
      </w:r>
    </w:p>
    <w:p w14:paraId="4D86E109">
      <w:pPr>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br w:type="page"/>
      </w:r>
    </w:p>
    <w:p w14:paraId="34E0AB8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color w:val="auto"/>
          <w:kern w:val="0"/>
          <w:sz w:val="32"/>
          <w:szCs w:val="32"/>
          <w:highlight w:val="none"/>
        </w:rPr>
      </w:pPr>
      <w:r>
        <w:rPr>
          <w:rFonts w:hint="eastAsia" w:ascii="仿宋_GB2312" w:hAnsi="仿宋_GB2312" w:eastAsia="仿宋_GB2312" w:cs="仿宋_GB2312"/>
          <w:b/>
          <w:bCs w:val="0"/>
          <w:color w:val="auto"/>
          <w:kern w:val="0"/>
          <w:sz w:val="36"/>
          <w:szCs w:val="36"/>
          <w:highlight w:val="none"/>
        </w:rPr>
        <w:t>目  录</w:t>
      </w:r>
    </w:p>
    <w:p w14:paraId="1BAC813D">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TOC \o "1-3" \n  \h \u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_Toc32314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 xml:space="preserve">第一部分 </w:t>
      </w:r>
      <w:r>
        <w:rPr>
          <w:rFonts w:hint="eastAsia" w:ascii="仿宋_GB2312" w:hAnsi="仿宋_GB2312" w:eastAsia="仿宋_GB2312" w:cs="仿宋_GB2312"/>
          <w:b/>
          <w:bCs/>
          <w:color w:val="auto"/>
          <w:sz w:val="32"/>
          <w:szCs w:val="32"/>
          <w:highlight w:val="none"/>
          <w:lang w:eastAsia="zh-CN"/>
        </w:rPr>
        <w:t>单位</w:t>
      </w:r>
      <w:r>
        <w:rPr>
          <w:rFonts w:hint="eastAsia" w:ascii="仿宋_GB2312" w:hAnsi="仿宋_GB2312" w:eastAsia="仿宋_GB2312" w:cs="仿宋_GB2312"/>
          <w:b/>
          <w:bCs/>
          <w:color w:val="auto"/>
          <w:sz w:val="32"/>
          <w:szCs w:val="32"/>
          <w:highlight w:val="none"/>
        </w:rPr>
        <w:t>概况</w:t>
      </w:r>
      <w:r>
        <w:rPr>
          <w:rFonts w:hint="eastAsia" w:ascii="仿宋_GB2312" w:hAnsi="仿宋_GB2312" w:eastAsia="仿宋_GB2312" w:cs="仿宋_GB2312"/>
          <w:b/>
          <w:bCs/>
          <w:color w:val="auto"/>
          <w:sz w:val="32"/>
          <w:szCs w:val="32"/>
          <w:highlight w:val="none"/>
        </w:rPr>
        <w:fldChar w:fldCharType="end"/>
      </w:r>
    </w:p>
    <w:p w14:paraId="6FF33F0F">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_Toc30567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一、主要职能</w:t>
      </w:r>
      <w:r>
        <w:rPr>
          <w:rFonts w:hint="eastAsia" w:ascii="仿宋_GB2312" w:hAnsi="仿宋_GB2312" w:eastAsia="仿宋_GB2312" w:cs="仿宋_GB2312"/>
          <w:color w:val="auto"/>
          <w:sz w:val="32"/>
          <w:szCs w:val="32"/>
          <w:highlight w:val="none"/>
        </w:rPr>
        <w:fldChar w:fldCharType="end"/>
      </w:r>
    </w:p>
    <w:p w14:paraId="1AC7A254">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二、机构设置</w:t>
      </w:r>
      <w:r>
        <w:rPr>
          <w:rFonts w:hint="eastAsia" w:ascii="仿宋_GB2312" w:hAnsi="仿宋_GB2312" w:eastAsia="仿宋_GB2312" w:cs="仿宋_GB2312"/>
          <w:bCs/>
          <w:color w:val="auto"/>
          <w:kern w:val="0"/>
          <w:sz w:val="32"/>
          <w:szCs w:val="32"/>
          <w:highlight w:val="none"/>
          <w:lang w:eastAsia="zh-CN"/>
        </w:rPr>
        <w:t>及人员</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color w:val="auto"/>
          <w:sz w:val="32"/>
          <w:szCs w:val="32"/>
          <w:highlight w:val="none"/>
        </w:rPr>
        <w:fldChar w:fldCharType="end"/>
      </w:r>
    </w:p>
    <w:p w14:paraId="5617150F">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_Toc29374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第二部分 部门决算情况说明</w:t>
      </w:r>
      <w:r>
        <w:rPr>
          <w:rFonts w:hint="eastAsia" w:ascii="仿宋_GB2312" w:hAnsi="仿宋_GB2312" w:eastAsia="仿宋_GB2312" w:cs="仿宋_GB2312"/>
          <w:b/>
          <w:bCs/>
          <w:color w:val="auto"/>
          <w:sz w:val="32"/>
          <w:szCs w:val="32"/>
          <w:highlight w:val="none"/>
        </w:rPr>
        <w:fldChar w:fldCharType="end"/>
      </w:r>
    </w:p>
    <w:p w14:paraId="1AC6107A">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_Toc25314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一、收入支出决算总体情况说明</w:t>
      </w:r>
      <w:r>
        <w:rPr>
          <w:rFonts w:hint="eastAsia" w:ascii="仿宋_GB2312" w:hAnsi="仿宋_GB2312" w:eastAsia="仿宋_GB2312" w:cs="仿宋_GB2312"/>
          <w:color w:val="auto"/>
          <w:sz w:val="32"/>
          <w:szCs w:val="32"/>
          <w:highlight w:val="none"/>
        </w:rPr>
        <w:fldChar w:fldCharType="end"/>
      </w:r>
    </w:p>
    <w:p w14:paraId="2CDE23B1">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_Toc12142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二、</w:t>
      </w:r>
      <w:r>
        <w:rPr>
          <w:rFonts w:hint="eastAsia" w:ascii="仿宋_GB2312" w:hAnsi="仿宋_GB2312" w:eastAsia="仿宋_GB2312" w:cs="仿宋_GB2312"/>
          <w:bCs/>
          <w:color w:val="auto"/>
          <w:kern w:val="0"/>
          <w:sz w:val="32"/>
          <w:szCs w:val="32"/>
          <w:highlight w:val="none"/>
        </w:rPr>
        <w:t>收入</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情况说明</w:t>
      </w:r>
      <w:r>
        <w:rPr>
          <w:rFonts w:hint="eastAsia" w:ascii="仿宋_GB2312" w:hAnsi="仿宋_GB2312" w:eastAsia="仿宋_GB2312" w:cs="仿宋_GB2312"/>
          <w:color w:val="auto"/>
          <w:sz w:val="32"/>
          <w:szCs w:val="32"/>
          <w:highlight w:val="none"/>
        </w:rPr>
        <w:fldChar w:fldCharType="end"/>
      </w:r>
    </w:p>
    <w:p w14:paraId="21E39A51">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_Toc13201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三、支出决算情况说明</w:t>
      </w:r>
      <w:r>
        <w:rPr>
          <w:rFonts w:hint="eastAsia" w:ascii="仿宋_GB2312" w:hAnsi="仿宋_GB2312" w:eastAsia="仿宋_GB2312" w:cs="仿宋_GB2312"/>
          <w:color w:val="auto"/>
          <w:sz w:val="32"/>
          <w:szCs w:val="32"/>
          <w:highlight w:val="none"/>
        </w:rPr>
        <w:fldChar w:fldCharType="end"/>
      </w:r>
    </w:p>
    <w:p w14:paraId="0C121541">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_Toc26564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四、财政拨款收入支出决算总体情况说明</w:t>
      </w:r>
      <w:r>
        <w:rPr>
          <w:rFonts w:hint="eastAsia" w:ascii="仿宋_GB2312" w:hAnsi="仿宋_GB2312" w:eastAsia="仿宋_GB2312" w:cs="仿宋_GB2312"/>
          <w:color w:val="auto"/>
          <w:sz w:val="32"/>
          <w:szCs w:val="32"/>
          <w:highlight w:val="none"/>
        </w:rPr>
        <w:fldChar w:fldCharType="end"/>
      </w:r>
    </w:p>
    <w:p w14:paraId="33A9F923">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_Toc20360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五、一般公共预算财政拨款支出决算情况说明</w:t>
      </w:r>
      <w:r>
        <w:rPr>
          <w:rFonts w:hint="eastAsia" w:ascii="仿宋_GB2312" w:hAnsi="仿宋_GB2312" w:eastAsia="仿宋_GB2312" w:cs="仿宋_GB2312"/>
          <w:color w:val="auto"/>
          <w:sz w:val="32"/>
          <w:szCs w:val="32"/>
          <w:highlight w:val="none"/>
        </w:rPr>
        <w:fldChar w:fldCharType="end"/>
      </w:r>
    </w:p>
    <w:p w14:paraId="2BAE99ED">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_Toc30870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六、一般公共预算财政拨款基本支出决算情况说明</w:t>
      </w:r>
      <w:r>
        <w:rPr>
          <w:rFonts w:hint="eastAsia" w:ascii="仿宋_GB2312" w:hAnsi="仿宋_GB2312" w:eastAsia="仿宋_GB2312" w:cs="仿宋_GB2312"/>
          <w:color w:val="auto"/>
          <w:sz w:val="32"/>
          <w:szCs w:val="32"/>
          <w:highlight w:val="none"/>
        </w:rPr>
        <w:fldChar w:fldCharType="end"/>
      </w:r>
    </w:p>
    <w:p w14:paraId="4BEEF206">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_Toc21518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七</w:t>
      </w:r>
      <w:r>
        <w:rPr>
          <w:rFonts w:hint="eastAsia" w:ascii="仿宋_GB2312" w:hAnsi="仿宋_GB2312" w:eastAsia="仿宋_GB2312" w:cs="仿宋_GB2312"/>
          <w:bCs/>
          <w:color w:val="auto"/>
          <w:kern w:val="0"/>
          <w:sz w:val="32"/>
          <w:szCs w:val="32"/>
          <w:highlight w:val="none"/>
        </w:rPr>
        <w:t>、</w:t>
      </w:r>
      <w:r>
        <w:rPr>
          <w:rFonts w:hint="eastAsia" w:ascii="仿宋_GB2312" w:hAnsi="仿宋_GB2312" w:eastAsia="仿宋_GB2312" w:cs="仿宋_GB2312"/>
          <w:bCs/>
          <w:color w:val="auto"/>
          <w:kern w:val="0"/>
          <w:sz w:val="32"/>
          <w:szCs w:val="32"/>
          <w:highlight w:val="none"/>
          <w:lang w:eastAsia="zh-CN"/>
        </w:rPr>
        <w:t>财政拨款</w:t>
      </w:r>
      <w:r>
        <w:rPr>
          <w:rFonts w:hint="eastAsia" w:ascii="仿宋_GB2312" w:hAnsi="仿宋_GB2312" w:eastAsia="仿宋_GB2312" w:cs="仿宋_GB2312"/>
          <w:bCs/>
          <w:color w:val="auto"/>
          <w:kern w:val="0"/>
          <w:sz w:val="32"/>
          <w:szCs w:val="32"/>
          <w:highlight w:val="none"/>
        </w:rPr>
        <w:t>“三公”经费支出</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14:paraId="681428FE">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lang w:eastAsia="zh-CN"/>
        </w:rPr>
        <w:t>政府性基金预算财政拨款收入支出决算情况说明</w:t>
      </w:r>
      <w:r>
        <w:rPr>
          <w:rFonts w:hint="eastAsia" w:ascii="仿宋_GB2312" w:hAnsi="仿宋_GB2312" w:eastAsia="仿宋_GB2312" w:cs="仿宋_GB2312"/>
          <w:color w:val="auto"/>
          <w:sz w:val="32"/>
          <w:szCs w:val="32"/>
          <w:highlight w:val="none"/>
        </w:rPr>
        <w:fldChar w:fldCharType="end"/>
      </w:r>
    </w:p>
    <w:p w14:paraId="69BEDF13">
      <w:pPr>
        <w:rPr>
          <w:rFonts w:hint="eastAsia"/>
          <w:color w:val="auto"/>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、国有资本经营预算财政拨款收入支出决算情况说明</w:t>
      </w:r>
      <w:r>
        <w:rPr>
          <w:rFonts w:hint="eastAsia" w:ascii="仿宋_GB2312" w:hAnsi="仿宋_GB2312" w:eastAsia="仿宋_GB2312" w:cs="仿宋_GB2312"/>
          <w:color w:val="auto"/>
          <w:sz w:val="32"/>
          <w:szCs w:val="32"/>
          <w:highlight w:val="none"/>
        </w:rPr>
        <w:fldChar w:fldCharType="end"/>
      </w:r>
    </w:p>
    <w:p w14:paraId="431DF059">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_Toc1235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十</w:t>
      </w:r>
      <w:r>
        <w:rPr>
          <w:rFonts w:hint="eastAsia" w:ascii="仿宋_GB2312" w:hAnsi="仿宋_GB2312" w:eastAsia="仿宋_GB2312" w:cs="仿宋_GB2312"/>
          <w:bCs/>
          <w:color w:val="auto"/>
          <w:kern w:val="0"/>
          <w:sz w:val="32"/>
          <w:szCs w:val="32"/>
          <w:highlight w:val="none"/>
        </w:rPr>
        <w:t>、其他重要事项的情况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14:paraId="79C0E16C">
      <w:pPr>
        <w:pStyle w:val="5"/>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_Toc14519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（一）</w:t>
      </w:r>
      <w:r>
        <w:rPr>
          <w:rFonts w:hint="eastAsia" w:ascii="仿宋_GB2312" w:hAnsi="仿宋_GB2312" w:eastAsia="仿宋_GB2312" w:cs="仿宋_GB2312"/>
          <w:color w:val="auto"/>
          <w:sz w:val="32"/>
          <w:szCs w:val="32"/>
          <w:highlight w:val="none"/>
        </w:rPr>
        <w:t>机关运行经费支出情况</w:t>
      </w:r>
      <w:r>
        <w:rPr>
          <w:rFonts w:hint="eastAsia" w:ascii="仿宋_GB2312" w:hAnsi="仿宋_GB2312" w:eastAsia="仿宋_GB2312" w:cs="仿宋_GB2312"/>
          <w:color w:val="auto"/>
          <w:sz w:val="32"/>
          <w:szCs w:val="32"/>
          <w:highlight w:val="none"/>
        </w:rPr>
        <w:fldChar w:fldCharType="end"/>
      </w:r>
    </w:p>
    <w:p w14:paraId="601B4ABB">
      <w:pPr>
        <w:pStyle w:val="5"/>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_Toc227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（二）政府采购情况</w:t>
      </w:r>
      <w:r>
        <w:rPr>
          <w:rFonts w:hint="eastAsia" w:ascii="仿宋_GB2312" w:hAnsi="仿宋_GB2312" w:eastAsia="仿宋_GB2312" w:cs="仿宋_GB2312"/>
          <w:color w:val="auto"/>
          <w:sz w:val="32"/>
          <w:szCs w:val="32"/>
          <w:highlight w:val="none"/>
        </w:rPr>
        <w:fldChar w:fldCharType="end"/>
      </w:r>
    </w:p>
    <w:p w14:paraId="57477B80">
      <w:pPr>
        <w:pStyle w:val="5"/>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_Toc8391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（三）国有资产占用情况说明</w:t>
      </w:r>
      <w:r>
        <w:rPr>
          <w:rFonts w:hint="eastAsia" w:ascii="仿宋_GB2312" w:hAnsi="仿宋_GB2312" w:eastAsia="仿宋_GB2312" w:cs="仿宋_GB2312"/>
          <w:color w:val="auto"/>
          <w:sz w:val="32"/>
          <w:szCs w:val="32"/>
          <w:highlight w:val="none"/>
        </w:rPr>
        <w:fldChar w:fldCharType="end"/>
      </w:r>
    </w:p>
    <w:p w14:paraId="3573EBB2">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_Toc11283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十</w:t>
      </w:r>
      <w:r>
        <w:rPr>
          <w:rFonts w:hint="eastAsia" w:ascii="仿宋_GB2312" w:hAnsi="仿宋_GB2312" w:eastAsia="仿宋_GB2312" w:cs="仿宋_GB2312"/>
          <w:bCs/>
          <w:color w:val="auto"/>
          <w:kern w:val="0"/>
          <w:sz w:val="32"/>
          <w:szCs w:val="32"/>
          <w:highlight w:val="none"/>
          <w:lang w:val="en-US" w:eastAsia="zh-CN"/>
        </w:rPr>
        <w:t>一</w:t>
      </w:r>
      <w:r>
        <w:rPr>
          <w:rFonts w:hint="eastAsia" w:ascii="仿宋_GB2312" w:hAnsi="仿宋_GB2312" w:eastAsia="仿宋_GB2312" w:cs="仿宋_GB2312"/>
          <w:bCs/>
          <w:color w:val="auto"/>
          <w:kern w:val="0"/>
          <w:sz w:val="32"/>
          <w:szCs w:val="32"/>
          <w:highlight w:val="none"/>
          <w:lang w:eastAsia="zh-CN"/>
        </w:rPr>
        <w:t>、预算绩效的情况说明</w:t>
      </w:r>
      <w:r>
        <w:rPr>
          <w:rFonts w:hint="eastAsia" w:ascii="仿宋_GB2312" w:hAnsi="仿宋_GB2312" w:eastAsia="仿宋_GB2312" w:cs="仿宋_GB2312"/>
          <w:color w:val="auto"/>
          <w:sz w:val="32"/>
          <w:szCs w:val="32"/>
          <w:highlight w:val="none"/>
        </w:rPr>
        <w:fldChar w:fldCharType="end"/>
      </w:r>
    </w:p>
    <w:p w14:paraId="3286C776">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十二、其他需说明的事项</w:t>
      </w:r>
    </w:p>
    <w:p w14:paraId="6D0A455A">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_Toc3250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第三部分 专业名词解释</w:t>
      </w:r>
      <w:r>
        <w:rPr>
          <w:rFonts w:hint="eastAsia" w:ascii="仿宋_GB2312" w:hAnsi="仿宋_GB2312" w:eastAsia="仿宋_GB2312" w:cs="仿宋_GB2312"/>
          <w:b/>
          <w:bCs/>
          <w:color w:val="auto"/>
          <w:sz w:val="32"/>
          <w:szCs w:val="32"/>
          <w:highlight w:val="none"/>
        </w:rPr>
        <w:fldChar w:fldCharType="end"/>
      </w:r>
    </w:p>
    <w:p w14:paraId="5B3181F8">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_Toc22784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第四部分 部门决算报表（见附表）</w:t>
      </w:r>
      <w:r>
        <w:rPr>
          <w:rFonts w:hint="eastAsia" w:ascii="仿宋_GB2312" w:hAnsi="仿宋_GB2312" w:eastAsia="仿宋_GB2312" w:cs="仿宋_GB2312"/>
          <w:b/>
          <w:bCs/>
          <w:color w:val="auto"/>
          <w:sz w:val="32"/>
          <w:szCs w:val="32"/>
          <w:highlight w:val="none"/>
        </w:rPr>
        <w:fldChar w:fldCharType="end"/>
      </w:r>
    </w:p>
    <w:p w14:paraId="58C80FE1">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一、《收入支出决算总表》</w:t>
      </w:r>
      <w:r>
        <w:rPr>
          <w:rFonts w:hint="eastAsia" w:ascii="仿宋_GB2312" w:hAnsi="仿宋_GB2312" w:eastAsia="仿宋_GB2312" w:cs="仿宋_GB2312"/>
          <w:color w:val="auto"/>
          <w:sz w:val="32"/>
          <w:szCs w:val="32"/>
          <w:highlight w:val="none"/>
        </w:rPr>
        <w:fldChar w:fldCharType="end"/>
      </w:r>
    </w:p>
    <w:p w14:paraId="4F14B740">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_Toc24532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二、《收入决算表》</w:t>
      </w:r>
      <w:r>
        <w:rPr>
          <w:rFonts w:hint="eastAsia" w:ascii="仿宋_GB2312" w:hAnsi="仿宋_GB2312" w:eastAsia="仿宋_GB2312" w:cs="仿宋_GB2312"/>
          <w:color w:val="auto"/>
          <w:sz w:val="32"/>
          <w:szCs w:val="32"/>
          <w:highlight w:val="none"/>
        </w:rPr>
        <w:fldChar w:fldCharType="end"/>
      </w:r>
    </w:p>
    <w:p w14:paraId="1AF6A822">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_Toc32434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三、《支出决算表》</w:t>
      </w:r>
      <w:r>
        <w:rPr>
          <w:rFonts w:hint="eastAsia" w:ascii="仿宋_GB2312" w:hAnsi="仿宋_GB2312" w:eastAsia="仿宋_GB2312" w:cs="仿宋_GB2312"/>
          <w:color w:val="auto"/>
          <w:sz w:val="32"/>
          <w:szCs w:val="32"/>
          <w:highlight w:val="none"/>
        </w:rPr>
        <w:fldChar w:fldCharType="end"/>
      </w:r>
    </w:p>
    <w:p w14:paraId="2FB2B65B">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_Toc28786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四、《财政拨款收入支出决算总表》</w:t>
      </w:r>
      <w:r>
        <w:rPr>
          <w:rFonts w:hint="eastAsia" w:ascii="仿宋_GB2312" w:hAnsi="仿宋_GB2312" w:eastAsia="仿宋_GB2312" w:cs="仿宋_GB2312"/>
          <w:color w:val="auto"/>
          <w:sz w:val="32"/>
          <w:szCs w:val="32"/>
          <w:highlight w:val="none"/>
        </w:rPr>
        <w:fldChar w:fldCharType="end"/>
      </w:r>
    </w:p>
    <w:p w14:paraId="76097178">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_Toc14869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五、《一般公共预算财政拨款支出决算表》</w:t>
      </w:r>
      <w:r>
        <w:rPr>
          <w:rFonts w:hint="eastAsia" w:ascii="仿宋_GB2312" w:hAnsi="仿宋_GB2312" w:eastAsia="仿宋_GB2312" w:cs="仿宋_GB2312"/>
          <w:color w:val="auto"/>
          <w:sz w:val="32"/>
          <w:szCs w:val="32"/>
          <w:highlight w:val="none"/>
        </w:rPr>
        <w:fldChar w:fldCharType="end"/>
      </w:r>
    </w:p>
    <w:p w14:paraId="74925C6D">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_Toc8884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六、《一般公共预算财政拨款基本支出决算表》</w:t>
      </w:r>
      <w:r>
        <w:rPr>
          <w:rFonts w:hint="eastAsia" w:ascii="仿宋_GB2312" w:hAnsi="仿宋_GB2312" w:eastAsia="仿宋_GB2312" w:cs="仿宋_GB2312"/>
          <w:color w:val="auto"/>
          <w:sz w:val="32"/>
          <w:szCs w:val="32"/>
          <w:highlight w:val="none"/>
        </w:rPr>
        <w:fldChar w:fldCharType="end"/>
      </w:r>
    </w:p>
    <w:p w14:paraId="38BF7845">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_Toc29106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七、《财政拨款“三公”经费支出决算表》</w:t>
      </w:r>
      <w:r>
        <w:rPr>
          <w:rFonts w:hint="eastAsia" w:ascii="仿宋_GB2312" w:hAnsi="仿宋_GB2312" w:eastAsia="仿宋_GB2312" w:cs="仿宋_GB2312"/>
          <w:color w:val="auto"/>
          <w:sz w:val="32"/>
          <w:szCs w:val="32"/>
          <w:highlight w:val="none"/>
        </w:rPr>
        <w:fldChar w:fldCharType="end"/>
      </w:r>
    </w:p>
    <w:p w14:paraId="08662C89">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color w:val="auto"/>
          <w:kern w:val="0"/>
          <w:sz w:val="32"/>
          <w:szCs w:val="32"/>
          <w:highlight w:val="none"/>
        </w:rPr>
        <w:instrText xml:space="preserve"> HYPERLINK \l _Toc7643 </w:instrText>
      </w:r>
      <w:r>
        <w:rPr>
          <w:rFonts w:hint="eastAsia" w:ascii="仿宋_GB2312" w:hAnsi="仿宋_GB2312" w:eastAsia="仿宋_GB2312" w:cs="仿宋_GB2312"/>
          <w:bCs/>
          <w:color w:val="auto"/>
          <w:kern w:val="0"/>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rPr>
        <w:t>《政府性基金预算财政拨款收入支出决算表》</w:t>
      </w:r>
      <w:r>
        <w:rPr>
          <w:rFonts w:hint="eastAsia" w:ascii="仿宋_GB2312" w:hAnsi="仿宋_GB2312" w:eastAsia="仿宋_GB2312" w:cs="仿宋_GB2312"/>
          <w:bCs/>
          <w:color w:val="auto"/>
          <w:kern w:val="0"/>
          <w:sz w:val="32"/>
          <w:szCs w:val="32"/>
          <w:highlight w:val="none"/>
        </w:rPr>
        <w:fldChar w:fldCharType="end"/>
      </w:r>
    </w:p>
    <w:p w14:paraId="655230A9">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lang w:eastAsia="zh-CN"/>
        </w:rPr>
      </w:pP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w:t>
      </w:r>
      <w:r>
        <w:rPr>
          <w:rFonts w:hint="eastAsia" w:ascii="仿宋_GB2312" w:hAnsi="仿宋_GB2312" w:eastAsia="仿宋_GB2312" w:cs="仿宋_GB2312"/>
          <w:bCs/>
          <w:color w:val="auto"/>
          <w:kern w:val="0"/>
          <w:sz w:val="32"/>
          <w:szCs w:val="32"/>
          <w:highlight w:val="none"/>
        </w:rPr>
        <w:t>预算财政拨款收入支出决算表</w:t>
      </w:r>
      <w:r>
        <w:rPr>
          <w:rFonts w:hint="eastAsia" w:ascii="仿宋_GB2312" w:hAnsi="仿宋_GB2312" w:eastAsia="仿宋_GB2312" w:cs="仿宋_GB2312"/>
          <w:bCs/>
          <w:color w:val="auto"/>
          <w:kern w:val="0"/>
          <w:sz w:val="32"/>
          <w:szCs w:val="32"/>
          <w:highlight w:val="none"/>
          <w:lang w:eastAsia="zh-CN"/>
        </w:rPr>
        <w:t>》</w:t>
      </w:r>
    </w:p>
    <w:p w14:paraId="3433103D">
      <w:pPr>
        <w:keepNext w:val="0"/>
        <w:keepLines w:val="0"/>
        <w:pageBreakBefore w:val="0"/>
        <w:widowControl w:val="0"/>
        <w:kinsoku/>
        <w:wordWrap/>
        <w:overflowPunct/>
        <w:topLinePunct w:val="0"/>
        <w:autoSpaceDE/>
        <w:autoSpaceDN/>
        <w:bidi w:val="0"/>
        <w:adjustRightInd/>
        <w:snapToGrid/>
        <w:ind w:left="0" w:leftChars="0"/>
        <w:jc w:val="both"/>
        <w:textAlignment w:val="auto"/>
        <w:rPr>
          <w:color w:val="auto"/>
          <w:highlight w:val="none"/>
        </w:rPr>
      </w:pPr>
      <w:r>
        <w:rPr>
          <w:rFonts w:hint="eastAsia" w:ascii="仿宋_GB2312" w:hAnsi="仿宋_GB2312" w:eastAsia="仿宋_GB2312" w:cs="仿宋_GB2312"/>
          <w:color w:val="auto"/>
          <w:sz w:val="32"/>
          <w:szCs w:val="32"/>
          <w:highlight w:val="none"/>
        </w:rPr>
        <w:fldChar w:fldCharType="end"/>
      </w:r>
    </w:p>
    <w:p w14:paraId="23E53BE9">
      <w:pPr>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br w:type="page"/>
      </w:r>
    </w:p>
    <w:p w14:paraId="659AC026">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0" w:name="_Toc24028"/>
      <w:bookmarkStart w:id="1" w:name="_Toc32314"/>
      <w:r>
        <w:rPr>
          <w:rFonts w:hint="eastAsia" w:ascii="黑体" w:hAnsi="黑体" w:eastAsia="黑体"/>
          <w:color w:val="auto"/>
          <w:sz w:val="32"/>
          <w:szCs w:val="32"/>
          <w:highlight w:val="none"/>
        </w:rPr>
        <w:t xml:space="preserve">第一部分 </w:t>
      </w:r>
      <w:r>
        <w:rPr>
          <w:rFonts w:hint="eastAsia" w:ascii="黑体" w:hAnsi="黑体" w:eastAsia="黑体"/>
          <w:color w:val="auto"/>
          <w:sz w:val="32"/>
          <w:szCs w:val="32"/>
          <w:highlight w:val="none"/>
          <w:lang w:eastAsia="zh-CN"/>
        </w:rPr>
        <w:t>单位</w:t>
      </w:r>
      <w:r>
        <w:rPr>
          <w:rFonts w:hint="eastAsia" w:ascii="黑体" w:hAnsi="黑体" w:eastAsia="黑体"/>
          <w:color w:val="auto"/>
          <w:sz w:val="32"/>
          <w:szCs w:val="32"/>
          <w:highlight w:val="none"/>
        </w:rPr>
        <w:t>概况</w:t>
      </w:r>
      <w:bookmarkEnd w:id="0"/>
      <w:bookmarkEnd w:id="1"/>
    </w:p>
    <w:p w14:paraId="636DB2F6">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ascii="黑体" w:hAnsi="黑体" w:eastAsia="黑体" w:cs="宋体"/>
          <w:bCs/>
          <w:color w:val="auto"/>
          <w:kern w:val="0"/>
          <w:sz w:val="32"/>
          <w:szCs w:val="32"/>
          <w:highlight w:val="none"/>
        </w:rPr>
      </w:pPr>
      <w:bookmarkStart w:id="2" w:name="_Toc30738"/>
      <w:bookmarkStart w:id="3" w:name="_Toc30567"/>
      <w:r>
        <w:rPr>
          <w:rFonts w:hint="eastAsia" w:ascii="黑体" w:hAnsi="黑体" w:eastAsia="黑体" w:cs="宋体"/>
          <w:bCs/>
          <w:color w:val="auto"/>
          <w:kern w:val="0"/>
          <w:sz w:val="32"/>
          <w:szCs w:val="32"/>
          <w:highlight w:val="none"/>
        </w:rPr>
        <w:t>一、主要职能</w:t>
      </w:r>
      <w:bookmarkEnd w:id="2"/>
      <w:bookmarkEnd w:id="3"/>
    </w:p>
    <w:p w14:paraId="1A8AD464">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hAnsi="Times New Roman" w:eastAsia="仿宋_GB2312" w:cs="Times New Roman"/>
          <w:sz w:val="32"/>
          <w:szCs w:val="32"/>
          <w:highlight w:val="none"/>
          <w:lang w:val="en-US" w:eastAsia="zh-CN"/>
        </w:rPr>
      </w:pPr>
      <w:bookmarkStart w:id="4" w:name="_Toc31238"/>
      <w:bookmarkStart w:id="5" w:name="_Toc2151"/>
      <w:r>
        <w:rPr>
          <w:rFonts w:hint="eastAsia" w:ascii="仿宋_GB2312" w:hAnsi="Times New Roman" w:eastAsia="仿宋_GB2312" w:cs="Times New Roman"/>
          <w:sz w:val="32"/>
          <w:szCs w:val="32"/>
          <w:highlight w:val="none"/>
          <w:lang w:val="en-US" w:eastAsia="zh-CN"/>
        </w:rPr>
        <w:t>乌鲁木齐市国土资源执法监察支队，为自治区自然资源厅下属四级单位，参照公务员法管理的事业单位。实行垂直管理，统一履行乌鲁木齐市市区内国土资源执法监察职能。</w:t>
      </w:r>
    </w:p>
    <w:p w14:paraId="17664D9C">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hAnsi="Times New Roman" w:eastAsia="仿宋_GB2312" w:cs="Times New Roman"/>
          <w:sz w:val="32"/>
          <w:szCs w:val="32"/>
          <w:highlight w:val="none"/>
          <w:lang w:val="en-US" w:eastAsia="zh-CN"/>
        </w:rPr>
      </w:pPr>
      <w:r>
        <w:rPr>
          <w:rFonts w:hint="eastAsia" w:ascii="仿宋_GB2312" w:hAnsi="Times New Roman" w:eastAsia="仿宋_GB2312" w:cs="Times New Roman"/>
          <w:sz w:val="32"/>
          <w:szCs w:val="32"/>
          <w:highlight w:val="none"/>
          <w:lang w:val="en-US" w:eastAsia="zh-CN"/>
        </w:rPr>
        <w:t>（一）宣传和贯彻执行国家、自治区有关土地、矿产资源的法律、法规、规章和政策；</w:t>
      </w:r>
    </w:p>
    <w:p w14:paraId="0BDF46C5">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hAnsi="Times New Roman" w:eastAsia="仿宋_GB2312" w:cs="Times New Roman"/>
          <w:sz w:val="32"/>
          <w:szCs w:val="32"/>
          <w:highlight w:val="none"/>
          <w:lang w:val="en-US" w:eastAsia="zh-CN"/>
        </w:rPr>
      </w:pPr>
      <w:r>
        <w:rPr>
          <w:rFonts w:hint="eastAsia" w:ascii="仿宋_GB2312" w:hAnsi="Times New Roman" w:eastAsia="仿宋_GB2312" w:cs="Times New Roman"/>
          <w:sz w:val="32"/>
          <w:szCs w:val="32"/>
          <w:highlight w:val="none"/>
          <w:lang w:val="en-US" w:eastAsia="zh-CN"/>
        </w:rPr>
        <w:t>（二）组织和实施对乌鲁木齐市区域内执行土地、矿产资源法律、法规、规章情况的巡查，及进发现的制止土地、矿产资源违法行为；</w:t>
      </w:r>
    </w:p>
    <w:p w14:paraId="28B30C25">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hAnsi="Times New Roman" w:eastAsia="仿宋_GB2312" w:cs="Times New Roman"/>
          <w:sz w:val="32"/>
          <w:szCs w:val="32"/>
          <w:highlight w:val="none"/>
          <w:lang w:val="en-US" w:eastAsia="zh-CN"/>
        </w:rPr>
      </w:pPr>
      <w:r>
        <w:rPr>
          <w:rFonts w:hint="eastAsia" w:ascii="仿宋_GB2312" w:hAnsi="Times New Roman" w:eastAsia="仿宋_GB2312" w:cs="Times New Roman"/>
          <w:sz w:val="32"/>
          <w:szCs w:val="32"/>
          <w:highlight w:val="none"/>
          <w:lang w:val="en-US" w:eastAsia="zh-CN"/>
        </w:rPr>
        <w:t>（三）依法组织和实施乌鲁木齐市区域内重大土地、矿产资源违法案件的调查、取证、现场勘验工作，并提交土地、矿产资源重大违法案件调查报告和查处意见；</w:t>
      </w:r>
    </w:p>
    <w:p w14:paraId="4FD073FC">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hAnsi="Times New Roman" w:eastAsia="仿宋_GB2312" w:cs="Times New Roman"/>
          <w:sz w:val="32"/>
          <w:szCs w:val="32"/>
          <w:highlight w:val="none"/>
          <w:lang w:val="en-US" w:eastAsia="zh-CN"/>
        </w:rPr>
      </w:pPr>
      <w:r>
        <w:rPr>
          <w:rFonts w:hint="eastAsia" w:ascii="仿宋_GB2312" w:hAnsi="Times New Roman" w:eastAsia="仿宋_GB2312" w:cs="Times New Roman"/>
          <w:sz w:val="32"/>
          <w:szCs w:val="32"/>
          <w:highlight w:val="none"/>
          <w:lang w:val="en-US" w:eastAsia="zh-CN"/>
        </w:rPr>
        <w:t>（四）负责乌鲁木齐市区域内重大土地、矿产资源违法案件查处决定的督办。</w:t>
      </w:r>
    </w:p>
    <w:p w14:paraId="1ED4CAB0">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hAnsi="Times New Roman" w:eastAsia="仿宋_GB2312" w:cs="Times New Roman"/>
          <w:sz w:val="32"/>
          <w:szCs w:val="32"/>
          <w:highlight w:val="none"/>
          <w:lang w:val="en-US" w:eastAsia="zh-CN"/>
        </w:rPr>
      </w:pPr>
      <w:r>
        <w:rPr>
          <w:rFonts w:hint="eastAsia" w:ascii="仿宋_GB2312" w:hAnsi="Times New Roman" w:eastAsia="仿宋_GB2312" w:cs="Times New Roman"/>
          <w:sz w:val="32"/>
          <w:szCs w:val="32"/>
          <w:highlight w:val="none"/>
          <w:lang w:val="en-US" w:eastAsia="zh-CN"/>
        </w:rPr>
        <w:t>（五）完成国土资源执法监察部门和当地政府交办的其他工作。</w:t>
      </w:r>
    </w:p>
    <w:p w14:paraId="493F9C1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r>
        <w:rPr>
          <w:rFonts w:hint="eastAsia" w:ascii="黑体" w:hAnsi="黑体" w:eastAsia="黑体" w:cs="宋体"/>
          <w:bCs/>
          <w:color w:val="auto"/>
          <w:kern w:val="0"/>
          <w:sz w:val="32"/>
          <w:szCs w:val="32"/>
          <w:highlight w:val="none"/>
        </w:rPr>
        <w:t>二、机构设置</w:t>
      </w:r>
      <w:r>
        <w:rPr>
          <w:rFonts w:hint="eastAsia" w:ascii="黑体" w:hAnsi="黑体" w:eastAsia="黑体" w:cs="宋体"/>
          <w:bCs/>
          <w:color w:val="auto"/>
          <w:kern w:val="0"/>
          <w:sz w:val="32"/>
          <w:szCs w:val="32"/>
          <w:highlight w:val="none"/>
          <w:lang w:eastAsia="zh-CN"/>
        </w:rPr>
        <w:t>及</w:t>
      </w:r>
      <w:bookmarkEnd w:id="4"/>
      <w:r>
        <w:rPr>
          <w:rFonts w:hint="eastAsia" w:ascii="黑体" w:hAnsi="黑体" w:eastAsia="黑体" w:cs="宋体"/>
          <w:bCs/>
          <w:color w:val="auto"/>
          <w:kern w:val="0"/>
          <w:sz w:val="32"/>
          <w:szCs w:val="32"/>
          <w:highlight w:val="none"/>
          <w:lang w:eastAsia="zh-CN"/>
        </w:rPr>
        <w:t>人员</w:t>
      </w:r>
      <w:r>
        <w:rPr>
          <w:rFonts w:hint="eastAsia" w:ascii="黑体" w:hAnsi="黑体" w:eastAsia="黑体" w:cs="宋体"/>
          <w:bCs/>
          <w:color w:val="auto"/>
          <w:kern w:val="0"/>
          <w:sz w:val="32"/>
          <w:szCs w:val="32"/>
          <w:highlight w:val="none"/>
        </w:rPr>
        <w:t>情况</w:t>
      </w:r>
      <w:bookmarkEnd w:id="5"/>
    </w:p>
    <w:p w14:paraId="25A77305">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b/>
          <w:color w:val="auto"/>
          <w:sz w:val="32"/>
          <w:szCs w:val="32"/>
          <w:highlight w:val="none"/>
        </w:rPr>
      </w:pPr>
      <w:r>
        <w:rPr>
          <w:rFonts w:hint="eastAsia" w:ascii="仿宋_GB2312" w:eastAsia="仿宋_GB2312"/>
          <w:color w:val="auto"/>
          <w:sz w:val="32"/>
          <w:szCs w:val="32"/>
          <w:highlight w:val="none"/>
          <w:lang w:val="en-US" w:eastAsia="zh-CN"/>
        </w:rPr>
        <w:t>乌鲁木齐市国土资源执法监察支队</w:t>
      </w:r>
      <w:r>
        <w:rPr>
          <w:rFonts w:hint="eastAsia" w:ascii="仿宋_GB2312" w:eastAsia="仿宋_GB2312"/>
          <w:color w:val="auto"/>
          <w:sz w:val="32"/>
          <w:szCs w:val="32"/>
          <w:highlight w:val="none"/>
          <w:lang w:eastAsia="zh-CN"/>
        </w:rPr>
        <w:t>2023年度，</w:t>
      </w:r>
      <w:r>
        <w:rPr>
          <w:rFonts w:hint="eastAsia" w:ascii="仿宋_GB2312" w:eastAsia="仿宋_GB2312"/>
          <w:color w:val="auto"/>
          <w:sz w:val="32"/>
          <w:szCs w:val="32"/>
          <w:highlight w:val="none"/>
        </w:rPr>
        <w:t>实有人数</w:t>
      </w:r>
      <w:r>
        <w:rPr>
          <w:rFonts w:hint="eastAsia" w:ascii="仿宋_GB2312" w:eastAsia="仿宋_GB2312"/>
          <w:color w:val="auto"/>
          <w:sz w:val="32"/>
          <w:szCs w:val="32"/>
          <w:highlight w:val="none"/>
          <w:lang w:val="zh-CN" w:eastAsia="zh-CN"/>
        </w:rPr>
        <w:t>39</w:t>
      </w:r>
      <w:r>
        <w:rPr>
          <w:rFonts w:hint="eastAsia" w:ascii="仿宋_GB2312" w:eastAsia="仿宋_GB2312"/>
          <w:color w:val="auto"/>
          <w:sz w:val="32"/>
          <w:szCs w:val="32"/>
          <w:highlight w:val="none"/>
        </w:rPr>
        <w:t>人，其中：在职人员</w:t>
      </w:r>
      <w:r>
        <w:rPr>
          <w:rFonts w:hint="eastAsia" w:ascii="仿宋_GB2312" w:eastAsia="仿宋_GB2312"/>
          <w:color w:val="auto"/>
          <w:sz w:val="32"/>
          <w:szCs w:val="32"/>
          <w:highlight w:val="none"/>
          <w:lang w:val="zh-CN" w:eastAsia="zh-CN"/>
        </w:rPr>
        <w:t>22</w:t>
      </w:r>
      <w:r>
        <w:rPr>
          <w:rFonts w:hint="eastAsia" w:ascii="仿宋_GB2312" w:eastAsia="仿宋_GB2312"/>
          <w:color w:val="auto"/>
          <w:sz w:val="32"/>
          <w:szCs w:val="32"/>
          <w:highlight w:val="none"/>
        </w:rPr>
        <w:t>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离休人员</w:t>
      </w:r>
      <w:r>
        <w:rPr>
          <w:rFonts w:hint="eastAsia" w:ascii="仿宋_GB2312" w:eastAsia="仿宋_GB2312"/>
          <w:color w:val="auto"/>
          <w:sz w:val="32"/>
          <w:szCs w:val="32"/>
          <w:highlight w:val="none"/>
          <w:lang w:val="zh-CN" w:eastAsia="zh-CN"/>
        </w:rPr>
        <w:t>0</w:t>
      </w:r>
      <w:r>
        <w:rPr>
          <w:rFonts w:hint="eastAsia" w:ascii="仿宋_GB2312" w:eastAsia="仿宋_GB2312"/>
          <w:color w:val="auto"/>
          <w:sz w:val="32"/>
          <w:szCs w:val="32"/>
          <w:highlight w:val="none"/>
        </w:rPr>
        <w:t>人，退休人员</w:t>
      </w:r>
      <w:r>
        <w:rPr>
          <w:rFonts w:hint="eastAsia" w:ascii="仿宋_GB2312" w:eastAsia="仿宋_GB2312"/>
          <w:color w:val="auto"/>
          <w:sz w:val="32"/>
          <w:szCs w:val="32"/>
          <w:highlight w:val="none"/>
          <w:lang w:val="zh-CN" w:eastAsia="zh-CN"/>
        </w:rPr>
        <w:t>17</w:t>
      </w:r>
      <w:r>
        <w:rPr>
          <w:rFonts w:hint="eastAsia" w:ascii="仿宋_GB2312" w:eastAsia="仿宋_GB2312"/>
          <w:color w:val="auto"/>
          <w:sz w:val="32"/>
          <w:szCs w:val="32"/>
          <w:highlight w:val="none"/>
        </w:rPr>
        <w:t>人。</w:t>
      </w:r>
    </w:p>
    <w:p w14:paraId="1110F75E">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 w:hAnsi="仿宋" w:eastAsia="仿宋" w:cs="仿宋"/>
          <w:color w:val="000000"/>
          <w:spacing w:val="5"/>
          <w:sz w:val="31"/>
          <w:szCs w:val="31"/>
        </w:rPr>
      </w:pPr>
      <w:bookmarkStart w:id="6" w:name="_Toc29374"/>
      <w:bookmarkStart w:id="7" w:name="_Toc3092"/>
      <w:r>
        <w:rPr>
          <w:rFonts w:hint="eastAsia" w:ascii="仿宋_GB2312" w:hAnsi="黑体" w:eastAsia="仿宋_GB2312" w:cs="宋体"/>
          <w:bCs/>
          <w:kern w:val="0"/>
          <w:sz w:val="32"/>
          <w:szCs w:val="32"/>
          <w:highlight w:val="none"/>
        </w:rPr>
        <w:t>单位无下属预算单位，下设</w:t>
      </w:r>
      <w:r>
        <w:rPr>
          <w:rFonts w:hint="eastAsia" w:ascii="仿宋" w:hAnsi="仿宋" w:eastAsia="仿宋" w:cs="仿宋"/>
          <w:color w:val="000000"/>
          <w:spacing w:val="5"/>
          <w:sz w:val="31"/>
          <w:szCs w:val="31"/>
          <w:lang w:val="en-US" w:eastAsia="zh-CN"/>
        </w:rPr>
        <w:t>3</w:t>
      </w:r>
      <w:r>
        <w:rPr>
          <w:rFonts w:hint="eastAsia" w:ascii="仿宋" w:hAnsi="仿宋" w:eastAsia="仿宋" w:cs="仿宋"/>
          <w:color w:val="000000"/>
          <w:spacing w:val="5"/>
          <w:sz w:val="31"/>
          <w:szCs w:val="31"/>
        </w:rPr>
        <w:t>个处室，分别是：</w:t>
      </w:r>
      <w:r>
        <w:rPr>
          <w:rFonts w:hint="eastAsia" w:ascii="仿宋" w:hAnsi="仿宋" w:eastAsia="仿宋" w:cs="仿宋"/>
          <w:color w:val="000000"/>
          <w:spacing w:val="5"/>
          <w:sz w:val="31"/>
          <w:szCs w:val="31"/>
          <w:lang w:eastAsia="zh-CN"/>
        </w:rPr>
        <w:t>办公室、土地执法监察科和矿产执法监察科</w:t>
      </w:r>
      <w:r>
        <w:rPr>
          <w:rFonts w:hint="eastAsia" w:ascii="仿宋" w:hAnsi="仿宋" w:eastAsia="仿宋" w:cs="仿宋"/>
          <w:color w:val="000000"/>
          <w:spacing w:val="5"/>
          <w:sz w:val="31"/>
          <w:szCs w:val="31"/>
        </w:rPr>
        <w:t>。</w:t>
      </w:r>
    </w:p>
    <w:p w14:paraId="0178ADE6">
      <w:pPr>
        <w:pStyle w:val="2"/>
        <w:ind w:left="0" w:leftChars="0" w:firstLine="0" w:firstLineChars="0"/>
        <w:rPr>
          <w:rFonts w:hint="eastAsia"/>
        </w:rPr>
      </w:pPr>
    </w:p>
    <w:p w14:paraId="208B1F1F">
      <w:pPr>
        <w:rPr>
          <w:rFonts w:hint="eastAsia"/>
        </w:rPr>
      </w:pPr>
    </w:p>
    <w:p w14:paraId="00CEF7FF">
      <w:pPr>
        <w:rPr>
          <w:rFonts w:hint="eastAsia"/>
        </w:rPr>
      </w:pPr>
    </w:p>
    <w:p w14:paraId="5FF9D538">
      <w:pPr>
        <w:rPr>
          <w:rFonts w:hint="eastAsia"/>
        </w:rPr>
      </w:pPr>
    </w:p>
    <w:p w14:paraId="15D4A7BA">
      <w:pPr>
        <w:rPr>
          <w:rFonts w:hint="eastAsia"/>
        </w:rPr>
      </w:pPr>
    </w:p>
    <w:p w14:paraId="4C31A830">
      <w:pPr>
        <w:rPr>
          <w:rFonts w:hint="eastAsia"/>
        </w:rPr>
      </w:pPr>
    </w:p>
    <w:p w14:paraId="5B559D69">
      <w:pPr>
        <w:rPr>
          <w:rFonts w:hint="eastAsia"/>
        </w:rPr>
      </w:pPr>
    </w:p>
    <w:p w14:paraId="44FAEAC8">
      <w:pPr>
        <w:rPr>
          <w:rFonts w:hint="eastAsia"/>
        </w:rPr>
      </w:pPr>
    </w:p>
    <w:p w14:paraId="35674D78">
      <w:pPr>
        <w:rPr>
          <w:rFonts w:hint="eastAsia"/>
        </w:rPr>
      </w:pPr>
    </w:p>
    <w:p w14:paraId="5F70F6ED">
      <w:pPr>
        <w:rPr>
          <w:rFonts w:hint="eastAsia"/>
        </w:rPr>
      </w:pPr>
    </w:p>
    <w:p w14:paraId="153E5C93">
      <w:pPr>
        <w:rPr>
          <w:rFonts w:hint="eastAsia"/>
        </w:rPr>
      </w:pPr>
    </w:p>
    <w:p w14:paraId="58047CAB">
      <w:pPr>
        <w:rPr>
          <w:rFonts w:hint="eastAsia"/>
        </w:rPr>
      </w:pPr>
    </w:p>
    <w:p w14:paraId="044CB874">
      <w:pPr>
        <w:rPr>
          <w:rFonts w:hint="eastAsia"/>
        </w:rPr>
      </w:pPr>
    </w:p>
    <w:p w14:paraId="724D8358">
      <w:pPr>
        <w:rPr>
          <w:rFonts w:hint="eastAsia"/>
        </w:rPr>
      </w:pPr>
    </w:p>
    <w:p w14:paraId="6807DD58">
      <w:pPr>
        <w:rPr>
          <w:rFonts w:hint="eastAsia"/>
        </w:rPr>
      </w:pPr>
    </w:p>
    <w:p w14:paraId="4791088F">
      <w:pPr>
        <w:rPr>
          <w:rFonts w:hint="eastAsia"/>
        </w:rPr>
      </w:pPr>
    </w:p>
    <w:p w14:paraId="11F2854D">
      <w:pPr>
        <w:rPr>
          <w:rFonts w:hint="eastAsia"/>
        </w:rPr>
      </w:pPr>
    </w:p>
    <w:p w14:paraId="482B9418">
      <w:pPr>
        <w:rPr>
          <w:rFonts w:hint="eastAsia"/>
        </w:rPr>
      </w:pPr>
    </w:p>
    <w:p w14:paraId="68CC676D">
      <w:pPr>
        <w:rPr>
          <w:rFonts w:hint="eastAsia"/>
        </w:rPr>
      </w:pPr>
    </w:p>
    <w:p w14:paraId="7488566A">
      <w:pPr>
        <w:rPr>
          <w:rFonts w:hint="eastAsia"/>
        </w:rPr>
      </w:pPr>
    </w:p>
    <w:p w14:paraId="77768913">
      <w:pPr>
        <w:rPr>
          <w:rFonts w:hint="eastAsia"/>
        </w:rPr>
      </w:pPr>
    </w:p>
    <w:p w14:paraId="442A0799">
      <w:pPr>
        <w:rPr>
          <w:rFonts w:hint="eastAsia"/>
        </w:rPr>
      </w:pPr>
    </w:p>
    <w:p w14:paraId="251C59BB">
      <w:pPr>
        <w:rPr>
          <w:rFonts w:hint="eastAsia"/>
        </w:rPr>
      </w:pPr>
    </w:p>
    <w:p w14:paraId="75B299F1">
      <w:pPr>
        <w:rPr>
          <w:rFonts w:hint="eastAsia"/>
        </w:rPr>
      </w:pPr>
    </w:p>
    <w:p w14:paraId="48CABA20">
      <w:pPr>
        <w:rPr>
          <w:rFonts w:hint="eastAsia"/>
        </w:rPr>
      </w:pPr>
    </w:p>
    <w:p w14:paraId="42623FC8">
      <w:pPr>
        <w:rPr>
          <w:rFonts w:hint="eastAsia"/>
        </w:rPr>
      </w:pPr>
    </w:p>
    <w:p w14:paraId="2A9482FD">
      <w:pPr>
        <w:rPr>
          <w:rFonts w:hint="eastAsia"/>
        </w:rPr>
      </w:pPr>
    </w:p>
    <w:p w14:paraId="3E288142">
      <w:pPr>
        <w:rPr>
          <w:rFonts w:hint="eastAsia"/>
        </w:rPr>
      </w:pPr>
    </w:p>
    <w:p w14:paraId="6111680D">
      <w:pPr>
        <w:rPr>
          <w:rFonts w:hint="eastAsia"/>
        </w:rPr>
      </w:pPr>
    </w:p>
    <w:p w14:paraId="666C12B3">
      <w:pPr>
        <w:rPr>
          <w:rFonts w:hint="eastAsia"/>
        </w:rPr>
      </w:pPr>
    </w:p>
    <w:p w14:paraId="4306BCAC">
      <w:pPr>
        <w:rPr>
          <w:rFonts w:hint="eastAsia"/>
        </w:rPr>
      </w:pPr>
    </w:p>
    <w:p w14:paraId="3E2AE48E">
      <w:pPr>
        <w:rPr>
          <w:rFonts w:hint="eastAsia"/>
        </w:rPr>
      </w:pPr>
    </w:p>
    <w:p w14:paraId="555931DD">
      <w:pPr>
        <w:rPr>
          <w:rFonts w:hint="eastAsia"/>
        </w:rPr>
      </w:pPr>
    </w:p>
    <w:p w14:paraId="6E4DB756">
      <w:pPr>
        <w:rPr>
          <w:rFonts w:hint="eastAsia"/>
        </w:rPr>
      </w:pPr>
    </w:p>
    <w:p w14:paraId="20DD51B2">
      <w:pPr>
        <w:rPr>
          <w:rFonts w:hint="eastAsia"/>
        </w:rPr>
      </w:pPr>
    </w:p>
    <w:p w14:paraId="15A21801">
      <w:pPr>
        <w:rPr>
          <w:rFonts w:hint="eastAsia"/>
        </w:rPr>
      </w:pPr>
    </w:p>
    <w:p w14:paraId="58DD9401">
      <w:pPr>
        <w:rPr>
          <w:rFonts w:hint="eastAsia"/>
        </w:rPr>
      </w:pPr>
    </w:p>
    <w:p w14:paraId="47EFE5F2">
      <w:pPr>
        <w:rPr>
          <w:rFonts w:hint="eastAsia"/>
        </w:rPr>
      </w:pPr>
    </w:p>
    <w:p w14:paraId="73593C24">
      <w:pPr>
        <w:rPr>
          <w:rFonts w:hint="eastAsia"/>
        </w:rPr>
      </w:pPr>
    </w:p>
    <w:p w14:paraId="217AC168">
      <w:pPr>
        <w:rPr>
          <w:rFonts w:hint="eastAsia"/>
        </w:rPr>
      </w:pPr>
    </w:p>
    <w:p w14:paraId="57468640">
      <w:pPr>
        <w:rPr>
          <w:rFonts w:hint="eastAsia"/>
        </w:rPr>
      </w:pPr>
    </w:p>
    <w:p w14:paraId="619F16B1">
      <w:pPr>
        <w:keepNext w:val="0"/>
        <w:keepLines w:val="0"/>
        <w:pageBreakBefore w:val="0"/>
        <w:widowControl w:val="0"/>
        <w:kinsoku/>
        <w:wordWrap/>
        <w:overflowPunct/>
        <w:topLinePunct w:val="0"/>
        <w:autoSpaceDE/>
        <w:autoSpaceDN/>
        <w:bidi w:val="0"/>
        <w:adjustRightInd/>
        <w:snapToGrid/>
        <w:spacing w:line="240" w:lineRule="auto"/>
        <w:ind w:firstLine="1920" w:firstLineChars="600"/>
        <w:jc w:val="both"/>
        <w:textAlignment w:val="auto"/>
        <w:outlineLvl w:val="0"/>
        <w:rPr>
          <w:rFonts w:hint="eastAsia" w:ascii="黑体" w:hAnsi="黑体" w:eastAsia="黑体"/>
          <w:color w:val="auto"/>
          <w:sz w:val="32"/>
          <w:szCs w:val="32"/>
          <w:highlight w:val="none"/>
        </w:rPr>
      </w:pP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二</w:t>
      </w:r>
      <w:r>
        <w:rPr>
          <w:rFonts w:hint="eastAsia" w:ascii="黑体" w:hAnsi="黑体" w:eastAsia="黑体"/>
          <w:color w:val="auto"/>
          <w:sz w:val="32"/>
          <w:szCs w:val="32"/>
          <w:highlight w:val="none"/>
        </w:rPr>
        <w:t>部分 部门决算情况说明</w:t>
      </w:r>
      <w:bookmarkEnd w:id="6"/>
      <w:bookmarkEnd w:id="7"/>
    </w:p>
    <w:p w14:paraId="46F642D1">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8" w:name="_Toc25314"/>
      <w:bookmarkStart w:id="9" w:name="_Toc12566"/>
      <w:r>
        <w:rPr>
          <w:rFonts w:hint="eastAsia" w:ascii="黑体" w:hAnsi="黑体" w:eastAsia="黑体" w:cs="宋体"/>
          <w:bCs/>
          <w:color w:val="auto"/>
          <w:kern w:val="0"/>
          <w:sz w:val="32"/>
          <w:szCs w:val="32"/>
          <w:highlight w:val="none"/>
        </w:rPr>
        <w:t>一、收入支出决算总体情况说明</w:t>
      </w:r>
      <w:bookmarkEnd w:id="8"/>
      <w:bookmarkEnd w:id="9"/>
    </w:p>
    <w:p w14:paraId="5ED5F5B1">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pacing w:val="0"/>
          <w:sz w:val="32"/>
          <w:szCs w:val="32"/>
          <w:highlight w:val="none"/>
          <w:lang w:val="en-US" w:eastAsia="zh-CN"/>
        </w:rPr>
        <w:t>收入总计</w:t>
      </w:r>
      <w:r>
        <w:rPr>
          <w:rFonts w:hint="eastAsia" w:ascii="仿宋_GB2312" w:eastAsia="仿宋_GB2312"/>
          <w:color w:val="auto"/>
          <w:spacing w:val="0"/>
          <w:sz w:val="32"/>
          <w:szCs w:val="32"/>
          <w:highlight w:val="none"/>
          <w:lang w:eastAsia="zh-CN"/>
        </w:rPr>
        <w:t>1,138.86万元，</w:t>
      </w:r>
      <w:r>
        <w:rPr>
          <w:rFonts w:hint="eastAsia" w:ascii="仿宋_GB2312" w:eastAsia="仿宋_GB2312"/>
          <w:color w:val="auto"/>
          <w:spacing w:val="0"/>
          <w:sz w:val="32"/>
          <w:szCs w:val="32"/>
          <w:highlight w:val="none"/>
          <w:lang w:val="en-US" w:eastAsia="zh-CN"/>
        </w:rPr>
        <w:t>其中：本年收入合计</w:t>
      </w:r>
      <w:r>
        <w:rPr>
          <w:rFonts w:hint="eastAsia" w:ascii="仿宋_GB2312" w:eastAsia="仿宋_GB2312"/>
          <w:color w:val="auto"/>
          <w:spacing w:val="0"/>
          <w:sz w:val="32"/>
          <w:szCs w:val="32"/>
          <w:highlight w:val="none"/>
          <w:lang w:eastAsia="zh-CN"/>
        </w:rPr>
        <w:t>955.52万元，使用非财政拨款结余0.00万元，年初结转和结余183.34万元。</w:t>
      </w:r>
    </w:p>
    <w:p w14:paraId="52D5A4CE">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2023</w:t>
      </w:r>
      <w:r>
        <w:rPr>
          <w:rFonts w:hint="eastAsia" w:ascii="仿宋_GB2312" w:eastAsia="仿宋_GB2312"/>
          <w:color w:val="auto"/>
          <w:spacing w:val="0"/>
          <w:sz w:val="32"/>
          <w:szCs w:val="32"/>
          <w:highlight w:val="none"/>
          <w:lang w:eastAsia="zh-CN"/>
        </w:rPr>
        <w:t>年</w:t>
      </w:r>
      <w:r>
        <w:rPr>
          <w:rFonts w:hint="eastAsia" w:ascii="仿宋_GB2312" w:eastAsia="仿宋_GB2312"/>
          <w:color w:val="auto"/>
          <w:spacing w:val="0"/>
          <w:sz w:val="32"/>
          <w:szCs w:val="32"/>
          <w:highlight w:val="none"/>
          <w:lang w:val="en-US" w:eastAsia="zh-CN"/>
        </w:rPr>
        <w:t>度</w:t>
      </w:r>
      <w:r>
        <w:rPr>
          <w:rFonts w:hint="eastAsia" w:ascii="仿宋_GB2312" w:eastAsia="仿宋_GB2312"/>
          <w:color w:val="auto"/>
          <w:spacing w:val="0"/>
          <w:sz w:val="32"/>
          <w:szCs w:val="32"/>
          <w:highlight w:val="none"/>
          <w:lang w:eastAsia="zh-CN"/>
        </w:rPr>
        <w:t>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eastAsia="zh-CN"/>
        </w:rPr>
        <w:t>1,138.86万元，</w:t>
      </w:r>
      <w:r>
        <w:rPr>
          <w:rFonts w:hint="eastAsia" w:ascii="仿宋_GB2312" w:eastAsia="仿宋_GB2312"/>
          <w:color w:val="auto"/>
          <w:spacing w:val="0"/>
          <w:sz w:val="32"/>
          <w:szCs w:val="32"/>
          <w:highlight w:val="none"/>
          <w:lang w:val="en-US" w:eastAsia="zh-CN"/>
        </w:rPr>
        <w:t>其中：本年支出合计</w:t>
      </w:r>
      <w:r>
        <w:rPr>
          <w:rFonts w:hint="eastAsia" w:ascii="仿宋_GB2312" w:eastAsia="仿宋_GB2312"/>
          <w:color w:val="auto"/>
          <w:spacing w:val="0"/>
          <w:sz w:val="32"/>
          <w:szCs w:val="32"/>
          <w:highlight w:val="none"/>
          <w:lang w:eastAsia="zh-CN"/>
        </w:rPr>
        <w:t>1,019.67万元，</w:t>
      </w:r>
      <w:r>
        <w:rPr>
          <w:rFonts w:hint="eastAsia" w:ascii="仿宋_GB2312" w:eastAsia="仿宋_GB2312"/>
          <w:color w:val="auto"/>
          <w:spacing w:val="0"/>
          <w:sz w:val="32"/>
          <w:szCs w:val="32"/>
          <w:highlight w:val="none"/>
          <w:lang w:val="en-US" w:eastAsia="zh-CN"/>
        </w:rPr>
        <w:t>结余分配</w:t>
      </w:r>
      <w:r>
        <w:rPr>
          <w:rFonts w:hint="eastAsia" w:ascii="仿宋_GB2312" w:eastAsia="仿宋_GB2312"/>
          <w:color w:val="auto"/>
          <w:spacing w:val="0"/>
          <w:sz w:val="32"/>
          <w:szCs w:val="32"/>
          <w:highlight w:val="none"/>
          <w:lang w:eastAsia="zh-CN"/>
        </w:rPr>
        <w:t>0.00万元，年末结转和结余119.18万元。</w:t>
      </w:r>
    </w:p>
    <w:p w14:paraId="6F62E034">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收入支出总体与上年相比</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增加57.09万元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增长5.28%</w:t>
      </w:r>
      <w:r>
        <w:rPr>
          <w:rFonts w:hint="eastAsia" w:ascii="仿宋_GB2312" w:eastAsia="仿宋_GB2312"/>
          <w:color w:val="auto"/>
          <w:spacing w:val="0"/>
          <w:sz w:val="32"/>
          <w:szCs w:val="32"/>
          <w:highlight w:val="none"/>
          <w:lang w:eastAsia="zh-CN"/>
        </w:rPr>
        <w:t>，主要原因是：</w:t>
      </w:r>
      <w:r>
        <w:rPr>
          <w:rFonts w:hint="eastAsia" w:eastAsia="仿宋" w:cs="Arial"/>
          <w:color w:val="000000"/>
          <w:spacing w:val="2"/>
          <w:sz w:val="31"/>
          <w:szCs w:val="31"/>
          <w:lang w:val="en-US" w:eastAsia="zh-CN"/>
        </w:rPr>
        <w:t>人员调入、</w:t>
      </w:r>
      <w:r>
        <w:rPr>
          <w:rFonts w:ascii="仿宋" w:hAnsi="仿宋" w:eastAsia="仿宋" w:cs="仿宋"/>
          <w:color w:val="000000"/>
          <w:spacing w:val="2"/>
          <w:sz w:val="31"/>
          <w:szCs w:val="31"/>
        </w:rPr>
        <w:t>上年度绩效考核奖金、调资增资追加预算</w:t>
      </w:r>
      <w:r>
        <w:rPr>
          <w:rFonts w:hint="eastAsia" w:ascii="仿宋" w:hAnsi="仿宋" w:eastAsia="仿宋" w:cs="仿宋"/>
          <w:color w:val="000000"/>
          <w:spacing w:val="2"/>
          <w:sz w:val="31"/>
          <w:szCs w:val="31"/>
          <w:lang w:eastAsia="zh-CN"/>
        </w:rPr>
        <w:t>、退休人员职业年金</w:t>
      </w:r>
      <w:r>
        <w:rPr>
          <w:rFonts w:ascii="仿宋" w:hAnsi="仿宋" w:eastAsia="仿宋" w:cs="仿宋"/>
          <w:color w:val="000000"/>
          <w:spacing w:val="2"/>
          <w:sz w:val="31"/>
          <w:szCs w:val="31"/>
        </w:rPr>
        <w:t>等经费款项</w:t>
      </w:r>
      <w:r>
        <w:rPr>
          <w:rFonts w:hint="eastAsia" w:ascii="仿宋" w:hAnsi="仿宋" w:eastAsia="仿宋" w:cs="仿宋"/>
          <w:color w:val="000000"/>
          <w:spacing w:val="2"/>
          <w:sz w:val="31"/>
          <w:szCs w:val="31"/>
          <w:lang w:eastAsia="zh-CN"/>
        </w:rPr>
        <w:t>增加</w:t>
      </w:r>
      <w:r>
        <w:rPr>
          <w:rFonts w:ascii="仿宋" w:hAnsi="仿宋" w:eastAsia="仿宋" w:cs="仿宋"/>
          <w:color w:val="000000"/>
          <w:spacing w:val="7"/>
          <w:sz w:val="31"/>
          <w:szCs w:val="31"/>
        </w:rPr>
        <w:t>。</w:t>
      </w:r>
    </w:p>
    <w:p w14:paraId="5CF4F57F">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rPr>
      </w:pPr>
      <w:bookmarkStart w:id="10" w:name="_Toc1979"/>
      <w:bookmarkStart w:id="11" w:name="_Toc12142"/>
      <w:r>
        <w:rPr>
          <w:rFonts w:hint="eastAsia" w:ascii="黑体" w:hAnsi="黑体" w:eastAsia="黑体" w:cs="宋体"/>
          <w:bCs/>
          <w:color w:val="auto"/>
          <w:kern w:val="0"/>
          <w:sz w:val="32"/>
          <w:szCs w:val="32"/>
          <w:highlight w:val="none"/>
          <w:lang w:eastAsia="zh-CN"/>
        </w:rPr>
        <w:t>二、</w:t>
      </w:r>
      <w:r>
        <w:rPr>
          <w:rFonts w:hint="eastAsia" w:ascii="黑体" w:hAnsi="黑体" w:eastAsia="黑体" w:cs="宋体"/>
          <w:bCs/>
          <w:color w:val="auto"/>
          <w:kern w:val="0"/>
          <w:sz w:val="32"/>
          <w:szCs w:val="32"/>
          <w:highlight w:val="none"/>
        </w:rPr>
        <w:t>收入</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情况说明</w:t>
      </w:r>
      <w:bookmarkEnd w:id="10"/>
      <w:bookmarkEnd w:id="11"/>
    </w:p>
    <w:p w14:paraId="15F4B780">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本年收入</w:t>
      </w:r>
      <w:r>
        <w:rPr>
          <w:rFonts w:hint="eastAsia" w:ascii="仿宋_GB2312" w:eastAsia="仿宋_GB2312"/>
          <w:color w:val="auto"/>
          <w:sz w:val="32"/>
          <w:szCs w:val="32"/>
          <w:highlight w:val="none"/>
          <w:lang w:eastAsia="zh-CN"/>
        </w:rPr>
        <w:t>955.52</w:t>
      </w:r>
      <w:r>
        <w:rPr>
          <w:rFonts w:hint="eastAsia" w:ascii="仿宋_GB2312" w:eastAsia="仿宋_GB2312"/>
          <w:color w:val="auto"/>
          <w:sz w:val="32"/>
          <w:szCs w:val="32"/>
          <w:highlight w:val="none"/>
        </w:rPr>
        <w:t>万元，其中：财政拨款收入</w:t>
      </w:r>
      <w:r>
        <w:rPr>
          <w:rFonts w:hint="eastAsia" w:ascii="仿宋_GB2312" w:eastAsia="仿宋_GB2312"/>
          <w:color w:val="auto"/>
          <w:sz w:val="32"/>
          <w:szCs w:val="32"/>
          <w:highlight w:val="none"/>
          <w:lang w:val="zh-CN"/>
        </w:rPr>
        <w:t>955.02</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99.95</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；上级补助收入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；事业收入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；经营收入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附属单位上缴收入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；其他收入</w:t>
      </w:r>
      <w:r>
        <w:rPr>
          <w:rFonts w:hint="eastAsia" w:ascii="仿宋_GB2312" w:eastAsia="仿宋_GB2312"/>
          <w:color w:val="auto"/>
          <w:sz w:val="32"/>
          <w:szCs w:val="32"/>
          <w:highlight w:val="none"/>
          <w:lang w:val="zh-CN"/>
        </w:rPr>
        <w:t>0.50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0.05</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p>
    <w:p w14:paraId="7C09B0AC">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2" w:name="_Toc27961"/>
      <w:bookmarkStart w:id="13" w:name="_Toc13201"/>
      <w:r>
        <w:rPr>
          <w:rFonts w:hint="eastAsia" w:ascii="黑体" w:hAnsi="黑体" w:eastAsia="黑体" w:cs="宋体"/>
          <w:bCs/>
          <w:color w:val="auto"/>
          <w:kern w:val="0"/>
          <w:sz w:val="32"/>
          <w:szCs w:val="32"/>
          <w:highlight w:val="none"/>
          <w:lang w:eastAsia="zh-CN"/>
        </w:rPr>
        <w:t>三、支出决算情况说明</w:t>
      </w:r>
      <w:bookmarkEnd w:id="12"/>
      <w:bookmarkEnd w:id="13"/>
    </w:p>
    <w:p w14:paraId="2D27538B">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仿宋_GB2312"/>
          <w:color w:val="auto"/>
          <w:sz w:val="30"/>
          <w:szCs w:val="30"/>
          <w:highlight w:val="none"/>
          <w:lang w:val="zh-CN" w:eastAsia="zh-CN"/>
        </w:rPr>
      </w:pPr>
      <w:r>
        <w:rPr>
          <w:rFonts w:hint="eastAsia" w:ascii="Times New Roman" w:hAnsi="Times New Roman" w:eastAsia="仿宋_GB2312" w:cs="仿宋_GB2312"/>
          <w:color w:val="auto"/>
          <w:sz w:val="32"/>
          <w:szCs w:val="32"/>
          <w:highlight w:val="none"/>
          <w:lang w:val="zh-CN" w:eastAsia="zh-CN"/>
        </w:rPr>
        <w:t>本年支出1,019.67万元，其中：基本支出535.99万元，占52.57%；项目支出483.68万元，占47.43%；上缴上级支出0.00万元，占0.00%；经营支出0.00万元，占0.00%；对附属单位补助支出0.00万元，占0.00%。</w:t>
      </w:r>
    </w:p>
    <w:p w14:paraId="1B733306">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4" w:name="_Toc4393"/>
      <w:bookmarkStart w:id="15" w:name="_Toc26564"/>
      <w:r>
        <w:rPr>
          <w:rFonts w:hint="eastAsia" w:ascii="黑体" w:hAnsi="黑体" w:eastAsia="黑体" w:cs="宋体"/>
          <w:bCs/>
          <w:color w:val="auto"/>
          <w:kern w:val="0"/>
          <w:sz w:val="32"/>
          <w:szCs w:val="32"/>
          <w:highlight w:val="none"/>
          <w:lang w:eastAsia="zh-CN"/>
        </w:rPr>
        <w:t>四、财政拨款收入支出决算总体情况说明</w:t>
      </w:r>
      <w:bookmarkEnd w:id="14"/>
      <w:bookmarkEnd w:id="15"/>
    </w:p>
    <w:p w14:paraId="3218CC0A">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2023年度财政拨款收入</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1,040.17</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其中：年初财政拨款结转和结余</w:t>
      </w:r>
      <w:r>
        <w:rPr>
          <w:rFonts w:hint="eastAsia" w:ascii="仿宋_GB2312" w:eastAsia="仿宋_GB2312"/>
          <w:color w:val="auto"/>
          <w:spacing w:val="0"/>
          <w:sz w:val="32"/>
          <w:szCs w:val="32"/>
          <w:highlight w:val="none"/>
          <w:lang w:val="zh-CN" w:eastAsia="zh-CN"/>
        </w:rPr>
        <w:t>85.15</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本年财政拨款收入</w:t>
      </w:r>
      <w:r>
        <w:rPr>
          <w:rFonts w:hint="eastAsia" w:ascii="仿宋_GB2312" w:eastAsia="仿宋_GB2312"/>
          <w:color w:val="auto"/>
          <w:spacing w:val="0"/>
          <w:sz w:val="32"/>
          <w:szCs w:val="32"/>
          <w:highlight w:val="none"/>
          <w:lang w:val="zh-CN" w:eastAsia="zh-CN"/>
        </w:rPr>
        <w:t>955.02</w:t>
      </w:r>
      <w:r>
        <w:rPr>
          <w:rFonts w:hint="eastAsia" w:ascii="仿宋_GB2312" w:eastAsia="仿宋_GB2312"/>
          <w:color w:val="auto"/>
          <w:spacing w:val="0"/>
          <w:sz w:val="32"/>
          <w:szCs w:val="32"/>
          <w:highlight w:val="none"/>
          <w:lang w:eastAsia="zh-CN"/>
        </w:rPr>
        <w:t>万元。财政拨款支出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1,040.17</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其中：年末财政拨款结转和结余</w:t>
      </w:r>
      <w:r>
        <w:rPr>
          <w:rFonts w:hint="eastAsia" w:ascii="仿宋_GB2312" w:eastAsia="仿宋_GB2312"/>
          <w:color w:val="auto"/>
          <w:spacing w:val="0"/>
          <w:sz w:val="32"/>
          <w:szCs w:val="32"/>
          <w:highlight w:val="none"/>
          <w:lang w:val="zh-CN" w:eastAsia="zh-CN"/>
        </w:rPr>
        <w:t>41.47</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本年财政拨款支出</w:t>
      </w:r>
      <w:r>
        <w:rPr>
          <w:rFonts w:hint="eastAsia" w:ascii="仿宋_GB2312" w:eastAsia="仿宋_GB2312"/>
          <w:color w:val="auto"/>
          <w:spacing w:val="0"/>
          <w:sz w:val="32"/>
          <w:szCs w:val="32"/>
          <w:highlight w:val="none"/>
          <w:lang w:val="zh-CN" w:eastAsia="zh-CN"/>
        </w:rPr>
        <w:t>998.70</w:t>
      </w:r>
      <w:r>
        <w:rPr>
          <w:rFonts w:hint="eastAsia" w:ascii="仿宋_GB2312" w:eastAsia="仿宋_GB2312"/>
          <w:color w:val="auto"/>
          <w:spacing w:val="0"/>
          <w:sz w:val="32"/>
          <w:szCs w:val="32"/>
          <w:highlight w:val="none"/>
          <w:lang w:eastAsia="zh-CN"/>
        </w:rPr>
        <w:t>万元。</w:t>
      </w:r>
    </w:p>
    <w:p w14:paraId="72719B4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财政拨款收入支出总体与上年相比</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val="zh-CN" w:eastAsia="zh-CN"/>
        </w:rPr>
        <w:t>增加56.59万元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增长5.75%，</w:t>
      </w:r>
      <w:r>
        <w:rPr>
          <w:rFonts w:hint="eastAsia" w:ascii="仿宋_GB2312" w:eastAsia="仿宋_GB2312"/>
          <w:color w:val="auto"/>
          <w:spacing w:val="0"/>
          <w:sz w:val="32"/>
          <w:szCs w:val="32"/>
          <w:highlight w:val="none"/>
          <w:lang w:eastAsia="zh-CN"/>
        </w:rPr>
        <w:t>主要原因是：</w:t>
      </w:r>
      <w:r>
        <w:rPr>
          <w:rFonts w:hint="eastAsia" w:eastAsia="仿宋" w:cs="Arial"/>
          <w:color w:val="000000"/>
          <w:spacing w:val="2"/>
          <w:sz w:val="31"/>
          <w:szCs w:val="31"/>
          <w:lang w:val="en-US" w:eastAsia="zh-CN"/>
        </w:rPr>
        <w:t>人员调入、</w:t>
      </w:r>
      <w:r>
        <w:rPr>
          <w:rFonts w:ascii="仿宋" w:hAnsi="仿宋" w:eastAsia="仿宋" w:cs="仿宋"/>
          <w:color w:val="000000"/>
          <w:spacing w:val="2"/>
          <w:sz w:val="31"/>
          <w:szCs w:val="31"/>
        </w:rPr>
        <w:t>上年度绩效考核奖金、调资增资追加预算</w:t>
      </w:r>
      <w:r>
        <w:rPr>
          <w:rFonts w:hint="eastAsia" w:ascii="仿宋" w:hAnsi="仿宋" w:eastAsia="仿宋" w:cs="仿宋"/>
          <w:color w:val="000000"/>
          <w:spacing w:val="2"/>
          <w:sz w:val="31"/>
          <w:szCs w:val="31"/>
          <w:lang w:eastAsia="zh-CN"/>
        </w:rPr>
        <w:t>、退休人员职业年金</w:t>
      </w:r>
      <w:r>
        <w:rPr>
          <w:rFonts w:ascii="仿宋" w:hAnsi="仿宋" w:eastAsia="仿宋" w:cs="仿宋"/>
          <w:color w:val="000000"/>
          <w:spacing w:val="2"/>
          <w:sz w:val="31"/>
          <w:szCs w:val="31"/>
        </w:rPr>
        <w:t>等经费款项</w:t>
      </w:r>
      <w:r>
        <w:rPr>
          <w:rFonts w:hint="eastAsia" w:ascii="仿宋" w:hAnsi="仿宋" w:eastAsia="仿宋" w:cs="仿宋"/>
          <w:color w:val="000000"/>
          <w:spacing w:val="2"/>
          <w:sz w:val="31"/>
          <w:szCs w:val="31"/>
          <w:lang w:eastAsia="zh-CN"/>
        </w:rPr>
        <w:t>增加</w:t>
      </w:r>
      <w:r>
        <w:rPr>
          <w:rFonts w:ascii="仿宋" w:hAnsi="仿宋" w:eastAsia="仿宋" w:cs="仿宋"/>
          <w:color w:val="000000"/>
          <w:spacing w:val="7"/>
          <w:sz w:val="31"/>
          <w:szCs w:val="31"/>
        </w:rPr>
        <w:t>。</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908.90</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1,040.17</w:t>
      </w:r>
      <w:r>
        <w:rPr>
          <w:rFonts w:hint="eastAsia" w:ascii="仿宋_GB2312" w:eastAsia="仿宋_GB2312"/>
          <w:color w:val="auto"/>
          <w:spacing w:val="0"/>
          <w:sz w:val="32"/>
          <w:szCs w:val="32"/>
          <w:highlight w:val="none"/>
          <w:lang w:eastAsia="zh-CN"/>
        </w:rPr>
        <w:t>万元，预决算差异率14.44%，主要原因是：</w:t>
      </w:r>
      <w:r>
        <w:rPr>
          <w:rFonts w:hint="eastAsia" w:ascii="仿宋_GB2312" w:eastAsia="仿宋_GB2312" w:cs="Times New Roman"/>
          <w:color w:val="auto"/>
          <w:spacing w:val="0"/>
          <w:sz w:val="32"/>
          <w:szCs w:val="32"/>
          <w:lang w:val="en-US" w:eastAsia="zh-CN"/>
        </w:rPr>
        <w:t>上年度绩效考核奖金、调资增资追加预算、退休人员职业年金和退休医疗补助金收回等经费款项增加，预决算产生差异</w:t>
      </w:r>
      <w:r>
        <w:rPr>
          <w:rFonts w:hint="eastAsia" w:ascii="仿宋_GB2312" w:eastAsia="仿宋_GB2312"/>
          <w:color w:val="auto"/>
          <w:spacing w:val="0"/>
          <w:sz w:val="32"/>
          <w:szCs w:val="32"/>
          <w:highlight w:val="none"/>
          <w:lang w:eastAsia="zh-CN"/>
        </w:rPr>
        <w:t>。</w:t>
      </w:r>
    </w:p>
    <w:p w14:paraId="50A3E96F">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6" w:name="_Toc13833"/>
      <w:bookmarkStart w:id="17" w:name="_Toc20360"/>
      <w:r>
        <w:rPr>
          <w:rFonts w:hint="eastAsia" w:ascii="黑体" w:hAnsi="黑体" w:eastAsia="黑体" w:cs="宋体"/>
          <w:bCs/>
          <w:color w:val="auto"/>
          <w:kern w:val="0"/>
          <w:sz w:val="32"/>
          <w:szCs w:val="32"/>
          <w:highlight w:val="none"/>
          <w:lang w:eastAsia="zh-CN"/>
        </w:rPr>
        <w:t>五、一般公共预算财政拨款支出决算情况说明</w:t>
      </w:r>
      <w:bookmarkEnd w:id="16"/>
      <w:bookmarkEnd w:id="17"/>
    </w:p>
    <w:p w14:paraId="6DF2B87A">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（一）一般公共预算财政拨款支出决算总体情况</w:t>
      </w:r>
    </w:p>
    <w:p w14:paraId="550286E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default"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2023年度一般公共预算财政拨款支出998.70万元，占本年支出合计的</w:t>
      </w:r>
      <w:r>
        <w:rPr>
          <w:rFonts w:hint="eastAsia" w:ascii="仿宋_GB2312" w:eastAsia="仿宋_GB2312"/>
          <w:color w:val="auto"/>
          <w:spacing w:val="0"/>
          <w:sz w:val="32"/>
          <w:szCs w:val="32"/>
          <w:highlight w:val="none"/>
          <w:lang w:val="zh-CN" w:eastAsia="zh-CN"/>
        </w:rPr>
        <w:t>97.94%</w:t>
      </w:r>
      <w:r>
        <w:rPr>
          <w:rFonts w:hint="eastAsia" w:ascii="仿宋_GB2312" w:eastAsia="仿宋_GB2312"/>
          <w:color w:val="auto"/>
          <w:spacing w:val="0"/>
          <w:sz w:val="32"/>
          <w:szCs w:val="32"/>
          <w:highlight w:val="none"/>
          <w:lang w:eastAsia="zh-CN"/>
        </w:rPr>
        <w:t>。与上年相比，</w:t>
      </w:r>
      <w:r>
        <w:rPr>
          <w:rFonts w:hint="eastAsia" w:ascii="仿宋_GB2312" w:eastAsia="仿宋_GB2312"/>
          <w:color w:val="auto"/>
          <w:spacing w:val="0"/>
          <w:sz w:val="32"/>
          <w:szCs w:val="32"/>
          <w:highlight w:val="none"/>
          <w:lang w:val="zh-CN" w:eastAsia="zh-CN"/>
        </w:rPr>
        <w:t>增加100.27万元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增长11.16%，</w:t>
      </w:r>
      <w:r>
        <w:rPr>
          <w:rFonts w:hint="eastAsia" w:ascii="仿宋_GB2312" w:eastAsia="仿宋_GB2312"/>
          <w:color w:val="auto"/>
          <w:spacing w:val="0"/>
          <w:sz w:val="32"/>
          <w:szCs w:val="32"/>
          <w:highlight w:val="none"/>
          <w:lang w:eastAsia="zh-CN"/>
        </w:rPr>
        <w:t>主要原因是：人员调入、</w:t>
      </w:r>
      <w:r>
        <w:rPr>
          <w:rFonts w:hint="eastAsia" w:ascii="仿宋_GB2312" w:eastAsia="仿宋_GB2312" w:cs="Times New Roman"/>
          <w:color w:val="auto"/>
          <w:spacing w:val="0"/>
          <w:sz w:val="32"/>
          <w:szCs w:val="32"/>
          <w:lang w:val="en-US" w:eastAsia="zh-CN"/>
        </w:rPr>
        <w:t>上年度绩效考核奖金、调资增资追加预算、退休人员职业年金等经费款项增加</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908.90</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998.70</w:t>
      </w:r>
      <w:r>
        <w:rPr>
          <w:rFonts w:hint="eastAsia" w:ascii="仿宋_GB2312" w:eastAsia="仿宋_GB2312"/>
          <w:color w:val="auto"/>
          <w:spacing w:val="0"/>
          <w:sz w:val="32"/>
          <w:szCs w:val="32"/>
          <w:highlight w:val="none"/>
          <w:lang w:eastAsia="zh-CN"/>
        </w:rPr>
        <w:t>万元，预决算差异率</w:t>
      </w:r>
      <w:r>
        <w:rPr>
          <w:rFonts w:hint="eastAsia" w:ascii="仿宋_GB2312" w:eastAsia="仿宋_GB2312"/>
          <w:color w:val="auto"/>
          <w:spacing w:val="0"/>
          <w:sz w:val="32"/>
          <w:szCs w:val="32"/>
          <w:highlight w:val="none"/>
          <w:lang w:val="zh-CN" w:eastAsia="zh-CN"/>
        </w:rPr>
        <w:t>9.88%</w:t>
      </w:r>
      <w:r>
        <w:rPr>
          <w:rFonts w:hint="eastAsia" w:ascii="仿宋_GB2312" w:eastAsia="仿宋_GB2312"/>
          <w:color w:val="auto"/>
          <w:spacing w:val="0"/>
          <w:sz w:val="32"/>
          <w:szCs w:val="32"/>
          <w:highlight w:val="none"/>
          <w:lang w:eastAsia="zh-CN"/>
        </w:rPr>
        <w:t>，主要原因是：</w:t>
      </w:r>
      <w:r>
        <w:rPr>
          <w:rFonts w:hint="eastAsia" w:ascii="仿宋_GB2312" w:eastAsia="仿宋_GB2312" w:cs="Times New Roman"/>
          <w:color w:val="auto"/>
          <w:spacing w:val="0"/>
          <w:sz w:val="32"/>
          <w:szCs w:val="32"/>
          <w:lang w:val="en-US" w:eastAsia="zh-CN"/>
        </w:rPr>
        <w:t>上年度绩效考核奖金、调资增资追加预算、退休人员职业年金和退休医疗补助金收回等经费款项增加，预决算产生差异</w:t>
      </w:r>
      <w:r>
        <w:rPr>
          <w:rFonts w:hint="eastAsia" w:ascii="仿宋_GB2312" w:eastAsia="仿宋_GB2312"/>
          <w:color w:val="auto"/>
          <w:spacing w:val="0"/>
          <w:sz w:val="32"/>
          <w:szCs w:val="32"/>
          <w:highlight w:val="none"/>
          <w:lang w:eastAsia="zh-CN"/>
        </w:rPr>
        <w:t>。</w:t>
      </w:r>
    </w:p>
    <w:p w14:paraId="087210B4">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一般公共预算</w:t>
      </w:r>
      <w:r>
        <w:rPr>
          <w:rFonts w:hint="eastAsia" w:ascii="黑体" w:hAnsi="黑体" w:eastAsia="黑体"/>
          <w:color w:val="auto"/>
          <w:sz w:val="32"/>
          <w:szCs w:val="32"/>
          <w:highlight w:val="none"/>
          <w:lang w:val="en-US" w:eastAsia="zh-CN"/>
        </w:rPr>
        <w:t>财政拨款支出决算</w:t>
      </w:r>
      <w:r>
        <w:rPr>
          <w:rFonts w:hint="eastAsia" w:ascii="黑体" w:hAnsi="黑体" w:eastAsia="黑体"/>
          <w:color w:val="auto"/>
          <w:sz w:val="32"/>
          <w:szCs w:val="32"/>
          <w:highlight w:val="none"/>
          <w:lang w:eastAsia="zh-CN"/>
        </w:rPr>
        <w:t>结构情况</w:t>
      </w:r>
    </w:p>
    <w:p w14:paraId="0D405804">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default" w:ascii="仿宋_GB2312" w:hAnsi="Times New Roman" w:eastAsia="仿宋_GB2312" w:cs="Times New Roman"/>
          <w:color w:val="auto"/>
          <w:spacing w:val="0"/>
          <w:kern w:val="2"/>
          <w:sz w:val="32"/>
          <w:szCs w:val="32"/>
          <w:lang w:val="zh-CN" w:eastAsia="zh-CN" w:bidi="ar-SA"/>
        </w:rPr>
        <w:t>1.</w:t>
      </w:r>
      <w:r>
        <w:rPr>
          <w:rFonts w:hint="default" w:ascii="仿宋_GB2312" w:hAnsi="Times New Roman" w:eastAsia="仿宋_GB2312" w:cs="Times New Roman"/>
          <w:color w:val="auto"/>
          <w:spacing w:val="0"/>
          <w:kern w:val="2"/>
          <w:sz w:val="32"/>
          <w:szCs w:val="32"/>
          <w:highlight w:val="none"/>
          <w:lang w:val="zh-CN" w:eastAsia="zh-CN" w:bidi="ar-SA"/>
        </w:rPr>
        <w:t>社会保障和就业支出（类）</w:t>
      </w:r>
      <w:r>
        <w:rPr>
          <w:rFonts w:hint="eastAsia" w:ascii="仿宋_GB2312" w:hAnsi="Times New Roman" w:eastAsia="仿宋_GB2312" w:cs="Times New Roman"/>
          <w:color w:val="auto"/>
          <w:spacing w:val="0"/>
          <w:kern w:val="2"/>
          <w:sz w:val="32"/>
          <w:szCs w:val="32"/>
          <w:highlight w:val="none"/>
          <w:lang w:val="zh-CN" w:eastAsia="zh-CN" w:bidi="ar-SA"/>
        </w:rPr>
        <w:t>94.60</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9.47</w:t>
      </w:r>
      <w:r>
        <w:rPr>
          <w:rFonts w:hint="default" w:ascii="仿宋_GB2312" w:hAnsi="Times New Roman" w:eastAsia="仿宋_GB2312" w:cs="Times New Roman"/>
          <w:color w:val="auto"/>
          <w:spacing w:val="0"/>
          <w:kern w:val="2"/>
          <w:sz w:val="32"/>
          <w:szCs w:val="32"/>
          <w:highlight w:val="none"/>
          <w:lang w:val="zh-CN" w:eastAsia="zh-CN" w:bidi="ar-SA"/>
        </w:rPr>
        <w:t>%；</w:t>
      </w:r>
    </w:p>
    <w:p w14:paraId="057EC999">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2</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卫生健康支出（类）</w:t>
      </w:r>
      <w:r>
        <w:rPr>
          <w:rFonts w:hint="eastAsia" w:ascii="仿宋_GB2312" w:hAnsi="Times New Roman" w:eastAsia="仿宋_GB2312" w:cs="Times New Roman"/>
          <w:color w:val="auto"/>
          <w:spacing w:val="0"/>
          <w:kern w:val="2"/>
          <w:sz w:val="32"/>
          <w:szCs w:val="32"/>
          <w:highlight w:val="none"/>
          <w:lang w:val="zh-CN" w:eastAsia="zh-CN" w:bidi="ar-SA"/>
        </w:rPr>
        <w:t>39.15</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3.92</w:t>
      </w:r>
      <w:r>
        <w:rPr>
          <w:rFonts w:hint="default" w:ascii="仿宋_GB2312" w:hAnsi="Times New Roman" w:eastAsia="仿宋_GB2312" w:cs="Times New Roman"/>
          <w:color w:val="auto"/>
          <w:spacing w:val="0"/>
          <w:kern w:val="2"/>
          <w:sz w:val="32"/>
          <w:szCs w:val="32"/>
          <w:highlight w:val="none"/>
          <w:lang w:val="zh-CN" w:eastAsia="zh-CN" w:bidi="ar-SA"/>
        </w:rPr>
        <w:t>%；</w:t>
      </w:r>
    </w:p>
    <w:p w14:paraId="1624C89A">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3</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自然资源海洋气象等支出（类）</w:t>
      </w:r>
      <w:r>
        <w:rPr>
          <w:rFonts w:hint="eastAsia" w:ascii="仿宋_GB2312" w:hAnsi="Times New Roman" w:eastAsia="仿宋_GB2312" w:cs="Times New Roman"/>
          <w:color w:val="auto"/>
          <w:spacing w:val="0"/>
          <w:kern w:val="2"/>
          <w:sz w:val="32"/>
          <w:szCs w:val="32"/>
          <w:highlight w:val="none"/>
          <w:lang w:val="zh-CN" w:eastAsia="zh-CN" w:bidi="ar-SA"/>
        </w:rPr>
        <w:t>833.74</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83.48</w:t>
      </w:r>
      <w:r>
        <w:rPr>
          <w:rFonts w:hint="default" w:ascii="仿宋_GB2312" w:hAnsi="Times New Roman" w:eastAsia="仿宋_GB2312" w:cs="Times New Roman"/>
          <w:color w:val="auto"/>
          <w:spacing w:val="0"/>
          <w:kern w:val="2"/>
          <w:sz w:val="32"/>
          <w:szCs w:val="32"/>
          <w:highlight w:val="none"/>
          <w:lang w:val="zh-CN" w:eastAsia="zh-CN" w:bidi="ar-SA"/>
        </w:rPr>
        <w:t>%；</w:t>
      </w:r>
    </w:p>
    <w:p w14:paraId="444131AD">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4</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住房保障支出（类）</w:t>
      </w:r>
      <w:r>
        <w:rPr>
          <w:rFonts w:hint="eastAsia" w:ascii="仿宋_GB2312" w:hAnsi="Times New Roman" w:eastAsia="仿宋_GB2312" w:cs="Times New Roman"/>
          <w:color w:val="auto"/>
          <w:spacing w:val="0"/>
          <w:kern w:val="2"/>
          <w:sz w:val="32"/>
          <w:szCs w:val="32"/>
          <w:highlight w:val="none"/>
          <w:lang w:val="zh-CN" w:eastAsia="zh-CN" w:bidi="ar-SA"/>
        </w:rPr>
        <w:t>31.21</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3.13</w:t>
      </w:r>
      <w:r>
        <w:rPr>
          <w:rFonts w:hint="default" w:ascii="仿宋_GB2312" w:hAnsi="Times New Roman" w:eastAsia="仿宋_GB2312" w:cs="Times New Roman"/>
          <w:color w:val="auto"/>
          <w:spacing w:val="0"/>
          <w:kern w:val="2"/>
          <w:sz w:val="32"/>
          <w:szCs w:val="32"/>
          <w:highlight w:val="none"/>
          <w:lang w:val="zh-CN" w:eastAsia="zh-CN" w:bidi="ar-SA"/>
        </w:rPr>
        <w:t>%；</w:t>
      </w:r>
    </w:p>
    <w:p w14:paraId="04D7C6E0">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（三）一般公共预算财政拨款支出决算具体情况</w:t>
      </w:r>
    </w:p>
    <w:p w14:paraId="4C9C3D6D">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1.卫生健康支出（类）行政事业单位医疗（款）行政单位医疗（项）:支出决算数为20.94</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1.17</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5.90%，主要原因是：</w:t>
      </w:r>
      <w:r>
        <w:rPr>
          <w:rFonts w:hint="eastAsia" w:eastAsia="仿宋_GB2312" w:cs="Times New Roman"/>
          <w:color w:val="auto"/>
          <w:kern w:val="2"/>
          <w:sz w:val="32"/>
          <w:szCs w:val="32"/>
          <w:highlight w:val="none"/>
          <w:lang w:val="en-US" w:eastAsia="zh-CN" w:bidi="ar-SA"/>
        </w:rPr>
        <w:t>人员工资调整，</w:t>
      </w:r>
      <w:r>
        <w:rPr>
          <w:rFonts w:hint="eastAsia" w:ascii="仿宋_GB2312" w:hAnsi="仿宋_GB2312" w:eastAsia="仿宋_GB2312" w:cs="仿宋_GB2312"/>
          <w:kern w:val="0"/>
          <w:sz w:val="32"/>
          <w:szCs w:val="32"/>
          <w:highlight w:val="none"/>
          <w:lang w:eastAsia="zh-CN"/>
        </w:rPr>
        <w:t>单位医疗</w:t>
      </w:r>
      <w:r>
        <w:rPr>
          <w:rFonts w:hint="eastAsia" w:eastAsia="仿宋_GB2312" w:cs="Times New Roman"/>
          <w:color w:val="auto"/>
          <w:kern w:val="2"/>
          <w:sz w:val="32"/>
          <w:szCs w:val="32"/>
          <w:highlight w:val="none"/>
          <w:lang w:val="en-US" w:eastAsia="zh-CN" w:bidi="ar-SA"/>
        </w:rPr>
        <w:t>缴费基数变动，缴费增加</w:t>
      </w:r>
      <w:r>
        <w:rPr>
          <w:rFonts w:hint="eastAsia" w:eastAsia="仿宋_GB2312" w:cs="Times New Roman"/>
          <w:color w:val="auto"/>
          <w:kern w:val="2"/>
          <w:sz w:val="32"/>
          <w:szCs w:val="32"/>
          <w:highlight w:val="none"/>
          <w:lang w:val="zh-CN" w:eastAsia="zh-CN" w:bidi="ar-SA"/>
        </w:rPr>
        <w:t>。</w:t>
      </w:r>
    </w:p>
    <w:p w14:paraId="57AC4B6C">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2.卫生健康支出（类）行政事业单位医疗（款）公务员医疗补助（项）:支出决算数为18.21</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2.82</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18.36%，主要原因是：</w:t>
      </w:r>
      <w:r>
        <w:rPr>
          <w:rFonts w:hint="eastAsia" w:eastAsia="仿宋_GB2312" w:cs="Times New Roman"/>
          <w:color w:val="auto"/>
          <w:kern w:val="2"/>
          <w:sz w:val="32"/>
          <w:szCs w:val="32"/>
          <w:highlight w:val="none"/>
          <w:lang w:val="en-US" w:eastAsia="zh-CN" w:bidi="ar-SA"/>
        </w:rPr>
        <w:t>人员工资调整，公务员医疗缴费基数变动，缴费增加</w:t>
      </w:r>
      <w:r>
        <w:rPr>
          <w:rFonts w:hint="eastAsia" w:eastAsia="仿宋_GB2312" w:cs="Times New Roman"/>
          <w:color w:val="auto"/>
          <w:kern w:val="2"/>
          <w:sz w:val="32"/>
          <w:szCs w:val="32"/>
          <w:highlight w:val="none"/>
          <w:lang w:val="zh-CN" w:eastAsia="zh-CN" w:bidi="ar-SA"/>
        </w:rPr>
        <w:t>。</w:t>
      </w:r>
    </w:p>
    <w:p w14:paraId="28E3C07E">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3.自然资源海洋气象等支出（类）自然资源事务（款）其他自然资源事务支出（项）:支出决算数为483.68</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92.31</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23.59%，主要原因是：</w:t>
      </w:r>
      <w:r>
        <w:rPr>
          <w:rFonts w:hint="eastAsia" w:eastAsia="仿宋_GB2312" w:cs="Times New Roman"/>
          <w:color w:val="auto"/>
          <w:kern w:val="2"/>
          <w:sz w:val="32"/>
          <w:szCs w:val="32"/>
          <w:highlight w:val="none"/>
          <w:lang w:val="en-US" w:eastAsia="zh-CN" w:bidi="ar-SA"/>
        </w:rPr>
        <w:t>本年度按照预算合理安排支出，</w:t>
      </w:r>
      <w:r>
        <w:rPr>
          <w:rFonts w:hint="eastAsia" w:ascii="Times New Roman" w:hAnsi="Times New Roman" w:eastAsia="仿宋_GB2312" w:cs="Times New Roman"/>
          <w:color w:val="auto"/>
          <w:kern w:val="2"/>
          <w:sz w:val="32"/>
          <w:szCs w:val="32"/>
          <w:highlight w:val="none"/>
          <w:lang w:val="zh-CN" w:eastAsia="zh-CN" w:bidi="ar-SA"/>
        </w:rPr>
        <w:t>办案经费</w:t>
      </w:r>
      <w:r>
        <w:rPr>
          <w:rFonts w:hint="eastAsia" w:eastAsia="仿宋_GB2312" w:cs="Times New Roman"/>
          <w:color w:val="auto"/>
          <w:kern w:val="2"/>
          <w:sz w:val="32"/>
          <w:szCs w:val="32"/>
          <w:highlight w:val="none"/>
          <w:lang w:val="zh-CN" w:eastAsia="zh-CN" w:bidi="ar-SA"/>
        </w:rPr>
        <w:t>增加。</w:t>
      </w:r>
    </w:p>
    <w:p w14:paraId="6E3B5D2D">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4.自然资源海洋气象等支出（类）自然资源事务（款）行政运行（项）:支出决算数为350.06</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23.74</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6.35%，主要原因是：</w:t>
      </w:r>
      <w:r>
        <w:rPr>
          <w:rFonts w:hint="eastAsia" w:eastAsia="仿宋_GB2312" w:cs="Times New Roman"/>
          <w:color w:val="auto"/>
          <w:kern w:val="2"/>
          <w:sz w:val="32"/>
          <w:szCs w:val="32"/>
          <w:highlight w:val="none"/>
          <w:lang w:val="en-US" w:eastAsia="zh-CN" w:bidi="ar-SA"/>
        </w:rPr>
        <w:t>厉行节约，</w:t>
      </w:r>
      <w:r>
        <w:rPr>
          <w:rFonts w:hint="eastAsia" w:eastAsia="仿宋_GB2312" w:cs="Times New Roman"/>
          <w:color w:val="auto"/>
          <w:kern w:val="2"/>
          <w:sz w:val="32"/>
          <w:szCs w:val="32"/>
          <w:highlight w:val="none"/>
          <w:lang w:val="zh-CN" w:eastAsia="zh-CN" w:bidi="ar-SA"/>
        </w:rPr>
        <w:t>公用支出减少。</w:t>
      </w:r>
    </w:p>
    <w:p w14:paraId="2B9CB64F">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5.住房保障支出（类）住房改革支出（款）住房公积金（项）:支出决算数为31.21</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3.69</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13.41%，主要原因是：</w:t>
      </w:r>
      <w:r>
        <w:rPr>
          <w:rFonts w:hint="eastAsia" w:eastAsia="仿宋_GB2312" w:cs="Times New Roman"/>
          <w:color w:val="auto"/>
          <w:kern w:val="2"/>
          <w:sz w:val="32"/>
          <w:szCs w:val="32"/>
          <w:highlight w:val="none"/>
          <w:lang w:val="zh-CN" w:eastAsia="zh-CN" w:bidi="ar-SA"/>
        </w:rPr>
        <w:t>人员工资变动，住房公积金缴费基数变动，缴费增加。</w:t>
      </w:r>
    </w:p>
    <w:p w14:paraId="04063F13">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6.社会保障和就业支出（类）行政事业单位养老支出（款）行政单位离退休（项）:支出决算数为32.02</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1.87</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5.52%，主要原因是：</w:t>
      </w:r>
      <w:r>
        <w:rPr>
          <w:rFonts w:hint="eastAsia" w:eastAsia="仿宋_GB2312" w:cs="Times New Roman"/>
          <w:color w:val="auto"/>
          <w:kern w:val="2"/>
          <w:sz w:val="32"/>
          <w:szCs w:val="32"/>
          <w:highlight w:val="none"/>
          <w:lang w:val="en-US" w:eastAsia="zh-CN" w:bidi="ar-SA"/>
        </w:rPr>
        <w:t>根据自治区财政厅《关于收回2023年自治区本级机关事业单位离退休人员基本医疗保险单位缴费部分资金的通知》文件，</w:t>
      </w:r>
      <w:r>
        <w:rPr>
          <w:rFonts w:hint="eastAsia" w:ascii="仿宋_GB2312" w:hAnsi="Calibri" w:eastAsia="仿宋_GB2312" w:cs="仿宋_GB2312"/>
          <w:kern w:val="2"/>
          <w:sz w:val="32"/>
          <w:szCs w:val="32"/>
          <w:lang w:val="en-US" w:eastAsia="zh-CN" w:bidi="ar"/>
        </w:rPr>
        <w:t>从2023年1月起，机关事业单位不再为退休、退职人员缴纳职工基本医疗保险费，退休人员基本医疗保险统一收回。</w:t>
      </w:r>
    </w:p>
    <w:p w14:paraId="0380E28F">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7.社会保障和就业支出（类）行政事业单位养老支出（款）机关事业单位职业年金缴费支出（项）:支出决算数为20.97</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20.97</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100</w:t>
      </w:r>
      <w:r>
        <w:rPr>
          <w:rFonts w:hint="eastAsia" w:eastAsia="仿宋_GB2312" w:cs="Times New Roman"/>
          <w:color w:val="auto"/>
          <w:kern w:val="2"/>
          <w:sz w:val="32"/>
          <w:szCs w:val="32"/>
          <w:highlight w:val="none"/>
          <w:lang w:val="en-US" w:eastAsia="zh-CN" w:bidi="ar-SA"/>
        </w:rPr>
        <w:t>.00</w:t>
      </w:r>
      <w:r>
        <w:rPr>
          <w:rFonts w:hint="eastAsia" w:ascii="Times New Roman" w:hAnsi="Times New Roman" w:eastAsia="仿宋_GB2312" w:cs="Times New Roman"/>
          <w:color w:val="auto"/>
          <w:kern w:val="2"/>
          <w:sz w:val="32"/>
          <w:szCs w:val="32"/>
          <w:highlight w:val="none"/>
          <w:lang w:val="en-US" w:eastAsia="zh-CN" w:bidi="ar-SA"/>
        </w:rPr>
        <w:t>%，主要原因是：</w:t>
      </w:r>
      <w:r>
        <w:rPr>
          <w:rFonts w:hint="eastAsia" w:eastAsia="仿宋_GB2312" w:cs="Times New Roman"/>
          <w:color w:val="auto"/>
          <w:kern w:val="2"/>
          <w:sz w:val="32"/>
          <w:szCs w:val="32"/>
          <w:highlight w:val="none"/>
          <w:lang w:val="en-US" w:eastAsia="zh-CN" w:bidi="ar-SA"/>
        </w:rPr>
        <w:t>在职转退休人员增加，缴纳机关事业单位职业年金</w:t>
      </w:r>
      <w:r>
        <w:rPr>
          <w:rFonts w:hint="eastAsia" w:eastAsia="仿宋_GB2312" w:cs="Times New Roman"/>
          <w:color w:val="auto"/>
          <w:kern w:val="2"/>
          <w:sz w:val="32"/>
          <w:szCs w:val="32"/>
          <w:highlight w:val="none"/>
          <w:lang w:val="zh-CN" w:eastAsia="zh-CN" w:bidi="ar-SA"/>
        </w:rPr>
        <w:t>。</w:t>
      </w:r>
    </w:p>
    <w:p w14:paraId="67E77503">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8.社会保障和就业支出（类）行政事业单位养老支出（款）机关事业单位基本养老保险缴费支出（项）:支出决算数为41.62</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4.92</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13.41%，主要原因是：</w:t>
      </w:r>
      <w:r>
        <w:rPr>
          <w:rFonts w:hint="eastAsia" w:eastAsia="仿宋_GB2312" w:cs="Times New Roman"/>
          <w:color w:val="auto"/>
          <w:kern w:val="2"/>
          <w:sz w:val="32"/>
          <w:szCs w:val="32"/>
          <w:highlight w:val="none"/>
          <w:lang w:val="zh-CN" w:eastAsia="zh-CN" w:bidi="ar-SA"/>
        </w:rPr>
        <w:t>人员工资变动，养老保险缴费基数变动，缴费增加。</w:t>
      </w:r>
    </w:p>
    <w:p w14:paraId="578AEA96">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六、一般公共预算财政拨款基本支出决算情况说明</w:t>
      </w:r>
    </w:p>
    <w:p w14:paraId="3DFFF0F4">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z w:val="32"/>
          <w:szCs w:val="32"/>
          <w:highlight w:val="none"/>
        </w:rPr>
        <w:t>一般公共预算财政拨款基本支出</w:t>
      </w:r>
      <w:r>
        <w:rPr>
          <w:rFonts w:hint="eastAsia" w:ascii="仿宋_GB2312" w:eastAsia="仿宋_GB2312"/>
          <w:color w:val="auto"/>
          <w:sz w:val="32"/>
          <w:szCs w:val="32"/>
          <w:highlight w:val="none"/>
          <w:lang w:eastAsia="zh-CN"/>
        </w:rPr>
        <w:t>515.02</w:t>
      </w:r>
      <w:r>
        <w:rPr>
          <w:rFonts w:hint="eastAsia" w:ascii="仿宋_GB2312" w:eastAsia="仿宋_GB2312"/>
          <w:color w:val="auto"/>
          <w:sz w:val="32"/>
          <w:szCs w:val="32"/>
          <w:highlight w:val="none"/>
        </w:rPr>
        <w:t>万元，其中：人员经费</w:t>
      </w:r>
      <w:r>
        <w:rPr>
          <w:rFonts w:hint="eastAsia" w:ascii="仿宋_GB2312" w:eastAsia="仿宋_GB2312"/>
          <w:color w:val="auto"/>
          <w:sz w:val="32"/>
          <w:szCs w:val="32"/>
          <w:highlight w:val="none"/>
          <w:lang w:eastAsia="zh-CN"/>
        </w:rPr>
        <w:t>479.85</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基本工资、津贴补贴、奖金、机关事业单位基本养老保险缴费、职业年金缴费、职工基本医疗保险缴费、公务员医疗补助缴费、其他社会保障缴费、住房公积金、其他工资福利支出、退休费。</w:t>
      </w:r>
    </w:p>
    <w:p w14:paraId="494855F8">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宋体" w:eastAsia="仿宋_GB2312" w:cs="宋体"/>
          <w:color w:val="auto"/>
          <w:kern w:val="0"/>
          <w:sz w:val="32"/>
          <w:szCs w:val="32"/>
          <w:highlight w:val="none"/>
        </w:rPr>
      </w:pPr>
      <w:r>
        <w:rPr>
          <w:rFonts w:hint="eastAsia" w:ascii="仿宋_GB2312" w:eastAsia="仿宋_GB2312"/>
          <w:color w:val="auto"/>
          <w:sz w:val="32"/>
          <w:szCs w:val="32"/>
          <w:highlight w:val="none"/>
        </w:rPr>
        <w:t>公用经费</w:t>
      </w:r>
      <w:r>
        <w:rPr>
          <w:rFonts w:hint="eastAsia" w:ascii="仿宋_GB2312" w:eastAsia="仿宋_GB2312"/>
          <w:color w:val="auto"/>
          <w:sz w:val="32"/>
          <w:szCs w:val="32"/>
          <w:highlight w:val="none"/>
          <w:lang w:eastAsia="zh-CN"/>
        </w:rPr>
        <w:t>35.17</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办公费、邮电费、差旅费、工会经费、福利费、其他交通费用、其他商品和服务支出。</w:t>
      </w:r>
    </w:p>
    <w:p w14:paraId="2EDEC15D">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七、</w:t>
      </w:r>
      <w:r>
        <w:rPr>
          <w:rFonts w:hint="eastAsia" w:ascii="黑体" w:hAnsi="黑体" w:eastAsia="黑体" w:cs="宋体"/>
          <w:bCs/>
          <w:color w:val="auto"/>
          <w:kern w:val="0"/>
          <w:sz w:val="32"/>
          <w:szCs w:val="32"/>
          <w:highlight w:val="none"/>
          <w:lang w:eastAsia="zh-CN"/>
        </w:rPr>
        <w:t>财政拨款</w:t>
      </w:r>
      <w:r>
        <w:rPr>
          <w:rFonts w:hint="eastAsia" w:ascii="黑体" w:hAnsi="黑体" w:eastAsia="黑体" w:cs="宋体"/>
          <w:bCs/>
          <w:color w:val="auto"/>
          <w:kern w:val="0"/>
          <w:sz w:val="32"/>
          <w:szCs w:val="32"/>
          <w:highlight w:val="none"/>
        </w:rPr>
        <w:t>“三公”经费支出</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w:t>
      </w:r>
      <w:r>
        <w:rPr>
          <w:rFonts w:hint="eastAsia" w:ascii="黑体" w:hAnsi="黑体" w:eastAsia="黑体" w:cs="宋体"/>
          <w:bCs/>
          <w:color w:val="auto"/>
          <w:kern w:val="0"/>
          <w:sz w:val="32"/>
          <w:szCs w:val="32"/>
          <w:highlight w:val="none"/>
          <w:lang w:eastAsia="zh-CN"/>
        </w:rPr>
        <w:t>说明</w:t>
      </w:r>
    </w:p>
    <w:p w14:paraId="7DDF3DFA">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2023年度</w:t>
      </w:r>
      <w:r>
        <w:rPr>
          <w:rFonts w:hint="eastAsia" w:ascii="仿宋_GB2312" w:eastAsia="仿宋_GB2312"/>
          <w:color w:val="auto"/>
          <w:sz w:val="32"/>
          <w:szCs w:val="32"/>
          <w:highlight w:val="none"/>
          <w:lang w:val="en-US" w:eastAsia="zh-CN"/>
        </w:rPr>
        <w:t>财政拨款</w:t>
      </w:r>
      <w:r>
        <w:rPr>
          <w:rFonts w:hint="eastAsia" w:ascii="仿宋_GB2312" w:eastAsia="仿宋_GB2312"/>
          <w:color w:val="auto"/>
          <w:sz w:val="32"/>
          <w:szCs w:val="32"/>
          <w:highlight w:val="none"/>
          <w:lang w:val="zh-CN" w:eastAsia="zh-CN"/>
        </w:rPr>
        <w:t>“三公”经费支出0.00万元，</w:t>
      </w:r>
      <w:r>
        <w:rPr>
          <w:rFonts w:hint="eastAsia" w:ascii="仿宋_GB2312" w:eastAsia="仿宋_GB2312"/>
          <w:color w:val="auto"/>
          <w:sz w:val="32"/>
          <w:szCs w:val="32"/>
          <w:highlight w:val="none"/>
          <w:lang w:val="en-US" w:eastAsia="zh-CN"/>
        </w:rPr>
        <w:t>比上年</w:t>
      </w:r>
      <w:r>
        <w:rPr>
          <w:rFonts w:hint="eastAsia" w:ascii="仿宋_GB2312" w:eastAsia="仿宋_GB2312"/>
          <w:color w:val="auto"/>
          <w:sz w:val="32"/>
          <w:szCs w:val="32"/>
          <w:highlight w:val="none"/>
          <w:lang w:val="zh-CN" w:eastAsia="zh-CN"/>
        </w:rPr>
        <w:t>增加0.00万元，增长0.00%，主要原因是：</w:t>
      </w:r>
      <w:r>
        <w:rPr>
          <w:rFonts w:hint="eastAsia" w:ascii="仿宋_GB2312" w:eastAsia="仿宋_GB2312"/>
          <w:color w:val="auto"/>
          <w:sz w:val="32"/>
          <w:szCs w:val="32"/>
          <w:highlight w:val="none"/>
          <w:lang w:val="en-US" w:eastAsia="zh-CN"/>
        </w:rPr>
        <w:t>本年度本单位没有“三公”经费支出预算</w:t>
      </w:r>
      <w:r>
        <w:rPr>
          <w:rFonts w:hint="eastAsia" w:ascii="仿宋_GB2312" w:eastAsia="仿宋_GB2312"/>
          <w:color w:val="auto"/>
          <w:sz w:val="32"/>
          <w:szCs w:val="32"/>
          <w:highlight w:val="none"/>
          <w:lang w:val="zh-CN" w:eastAsia="zh-CN"/>
        </w:rPr>
        <w:t>。其中：因公出国（境）费支出0.00万元，占0.00%，比上年增加0.00万元，增长0.00%，主要原因是：</w:t>
      </w:r>
      <w:r>
        <w:rPr>
          <w:rFonts w:hint="eastAsia" w:ascii="仿宋_GB2312" w:eastAsia="仿宋_GB2312"/>
          <w:color w:val="auto"/>
          <w:sz w:val="32"/>
          <w:szCs w:val="32"/>
          <w:highlight w:val="none"/>
          <w:lang w:val="en-US" w:eastAsia="zh-CN"/>
        </w:rPr>
        <w:t>本年度本单位没有因公出国（境）费</w:t>
      </w:r>
      <w:r>
        <w:rPr>
          <w:rFonts w:hint="eastAsia" w:ascii="仿宋_GB2312" w:eastAsia="仿宋_GB2312"/>
          <w:color w:val="auto"/>
          <w:sz w:val="32"/>
          <w:szCs w:val="32"/>
          <w:highlight w:val="none"/>
          <w:lang w:val="zh-CN" w:eastAsia="zh-CN"/>
        </w:rPr>
        <w:t>；公务用车购置及运行维护费支出0.00万元，占0.00%，比上年增加0.00万元，增长0.00%，主要原因是：</w:t>
      </w:r>
      <w:r>
        <w:rPr>
          <w:rFonts w:hint="eastAsia" w:ascii="仿宋_GB2312" w:eastAsia="仿宋_GB2312"/>
          <w:color w:val="auto"/>
          <w:sz w:val="32"/>
          <w:szCs w:val="32"/>
          <w:highlight w:val="none"/>
          <w:lang w:val="en-US" w:eastAsia="zh-CN"/>
        </w:rPr>
        <w:t>本年度没有公务用车购置及运行维护费</w:t>
      </w:r>
      <w:r>
        <w:rPr>
          <w:rFonts w:hint="eastAsia" w:ascii="仿宋_GB2312" w:eastAsia="仿宋_GB2312"/>
          <w:color w:val="auto"/>
          <w:sz w:val="32"/>
          <w:szCs w:val="32"/>
          <w:highlight w:val="none"/>
          <w:lang w:val="zh-CN" w:eastAsia="zh-CN"/>
        </w:rPr>
        <w:t>；公务接待费支出0.00万元，占0.00%，比上年增加0.00万元，增长0.00%，主要原因是：本年度无公务接待费。</w:t>
      </w:r>
    </w:p>
    <w:p w14:paraId="470B13C1">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具体情况如下：</w:t>
      </w:r>
    </w:p>
    <w:p w14:paraId="2695E967">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因公出国（境）费支出0.00万元，</w:t>
      </w:r>
      <w:r>
        <w:rPr>
          <w:rFonts w:hint="eastAsia" w:ascii="仿宋_GB2312" w:eastAsia="仿宋_GB2312"/>
          <w:sz w:val="32"/>
          <w:szCs w:val="32"/>
          <w:highlight w:val="none"/>
        </w:rPr>
        <w:t>开支内容</w:t>
      </w:r>
      <w:r>
        <w:rPr>
          <w:rFonts w:hint="eastAsia" w:ascii="仿宋_GB2312" w:eastAsia="仿宋_GB2312"/>
          <w:sz w:val="32"/>
          <w:szCs w:val="32"/>
          <w:highlight w:val="none"/>
          <w:lang w:eastAsia="zh-CN"/>
        </w:rPr>
        <w:t>包括无</w:t>
      </w:r>
      <w:r>
        <w:rPr>
          <w:rFonts w:hint="eastAsia" w:ascii="仿宋_GB2312" w:eastAsia="仿宋_GB2312"/>
          <w:color w:val="auto"/>
          <w:sz w:val="32"/>
          <w:szCs w:val="32"/>
          <w:highlight w:val="none"/>
          <w:lang w:val="zh-CN" w:eastAsia="zh-CN"/>
        </w:rPr>
        <w:t>因公出国（境）费支出。单位全年安排的因公出国（境）团组0个，因公出国（境）0人次。</w:t>
      </w:r>
    </w:p>
    <w:p w14:paraId="74089257">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zh-CN" w:eastAsia="zh-CN"/>
        </w:rPr>
        <w:t>公务用车购置及运行维护费0.00万元，其中：公务用车购置费0.00万元，公务用车运行维护费0.00万元。</w:t>
      </w:r>
      <w:r>
        <w:rPr>
          <w:rFonts w:hint="eastAsia" w:ascii="仿宋_GB2312" w:eastAsia="仿宋_GB2312"/>
          <w:sz w:val="32"/>
          <w:szCs w:val="32"/>
          <w:highlight w:val="none"/>
        </w:rPr>
        <w:t>公务用车运行维护费开支内容</w:t>
      </w:r>
      <w:r>
        <w:rPr>
          <w:rFonts w:hint="eastAsia" w:ascii="仿宋_GB2312" w:eastAsia="仿宋_GB2312"/>
          <w:sz w:val="32"/>
          <w:szCs w:val="32"/>
          <w:highlight w:val="none"/>
          <w:lang w:eastAsia="zh-CN"/>
        </w:rPr>
        <w:t>包括无</w:t>
      </w:r>
      <w:r>
        <w:rPr>
          <w:rFonts w:hint="eastAsia" w:ascii="仿宋_GB2312" w:eastAsia="仿宋_GB2312"/>
          <w:sz w:val="32"/>
          <w:szCs w:val="32"/>
          <w:highlight w:val="none"/>
        </w:rPr>
        <w:t>公务用车运行维护费</w:t>
      </w:r>
      <w:r>
        <w:rPr>
          <w:rFonts w:hint="eastAsia" w:ascii="仿宋_GB2312" w:eastAsia="仿宋_GB2312"/>
          <w:sz w:val="32"/>
          <w:szCs w:val="32"/>
          <w:highlight w:val="none"/>
          <w:lang w:eastAsia="zh-CN"/>
        </w:rPr>
        <w:t>支出</w:t>
      </w:r>
      <w:r>
        <w:rPr>
          <w:rFonts w:hint="eastAsia" w:ascii="仿宋_GB2312" w:eastAsia="仿宋_GB2312"/>
          <w:color w:val="auto"/>
          <w:sz w:val="32"/>
          <w:szCs w:val="32"/>
          <w:highlight w:val="none"/>
          <w:lang w:val="zh-CN" w:eastAsia="zh-CN"/>
        </w:rPr>
        <w:t>。公务用车购置数0辆，公务用车保有量0辆。国有资产占用情况</w:t>
      </w:r>
      <w:r>
        <w:rPr>
          <w:rFonts w:hint="eastAsia" w:ascii="仿宋_GB2312" w:eastAsia="仿宋_GB2312"/>
          <w:color w:val="auto"/>
          <w:sz w:val="32"/>
          <w:szCs w:val="32"/>
          <w:highlight w:val="none"/>
          <w:lang w:val="en-US" w:eastAsia="zh-CN"/>
        </w:rPr>
        <w:t>中固定资产车辆</w:t>
      </w:r>
      <w:r>
        <w:rPr>
          <w:rFonts w:hint="eastAsia" w:ascii="仿宋_GB2312" w:eastAsia="仿宋_GB2312"/>
          <w:color w:val="auto"/>
          <w:sz w:val="32"/>
          <w:szCs w:val="32"/>
          <w:highlight w:val="none"/>
          <w:lang w:val="zh-CN" w:eastAsia="zh-CN"/>
        </w:rPr>
        <w:t>6辆，</w:t>
      </w:r>
      <w:r>
        <w:rPr>
          <w:rFonts w:hint="eastAsia" w:ascii="仿宋_GB2312" w:eastAsia="仿宋_GB2312"/>
          <w:color w:val="auto"/>
          <w:sz w:val="32"/>
          <w:szCs w:val="32"/>
          <w:highlight w:val="none"/>
          <w:lang w:val="en-US" w:eastAsia="zh-CN"/>
        </w:rPr>
        <w:t>与</w:t>
      </w:r>
      <w:r>
        <w:rPr>
          <w:rFonts w:hint="eastAsia" w:ascii="仿宋_GB2312" w:eastAsia="仿宋_GB2312"/>
          <w:color w:val="auto"/>
          <w:sz w:val="32"/>
          <w:szCs w:val="32"/>
          <w:highlight w:val="none"/>
          <w:lang w:val="zh-CN" w:eastAsia="zh-CN"/>
        </w:rPr>
        <w:t>公务用车</w:t>
      </w:r>
      <w:r>
        <w:rPr>
          <w:rFonts w:hint="eastAsia" w:ascii="仿宋_GB2312" w:eastAsia="仿宋_GB2312"/>
          <w:color w:val="auto"/>
          <w:sz w:val="32"/>
          <w:szCs w:val="32"/>
          <w:highlight w:val="none"/>
          <w:lang w:val="en-US" w:eastAsia="zh-CN"/>
        </w:rPr>
        <w:t>保有量差异</w:t>
      </w:r>
      <w:r>
        <w:rPr>
          <w:rFonts w:hint="eastAsia" w:ascii="仿宋_GB2312" w:eastAsia="仿宋_GB2312"/>
          <w:color w:val="auto"/>
          <w:sz w:val="32"/>
          <w:szCs w:val="32"/>
          <w:highlight w:val="none"/>
          <w:lang w:val="zh-CN" w:eastAsia="zh-CN"/>
        </w:rPr>
        <w:t>原因是：本单位无公务用车，国有资产中车辆为执法执勤车辆</w:t>
      </w:r>
      <w:r>
        <w:rPr>
          <w:rFonts w:hint="eastAsia" w:ascii="仿宋_GB2312" w:eastAsia="仿宋_GB2312"/>
          <w:color w:val="auto"/>
          <w:sz w:val="32"/>
          <w:szCs w:val="32"/>
          <w:highlight w:val="none"/>
          <w:lang w:val="en-US" w:eastAsia="zh-CN"/>
        </w:rPr>
        <w:t>5辆</w:t>
      </w:r>
      <w:r>
        <w:rPr>
          <w:rFonts w:hint="eastAsia" w:ascii="仿宋_GB2312" w:eastAsia="仿宋_GB2312"/>
          <w:color w:val="auto"/>
          <w:sz w:val="32"/>
          <w:szCs w:val="32"/>
          <w:highlight w:val="none"/>
          <w:lang w:val="zh-CN" w:eastAsia="zh-CN"/>
        </w:rPr>
        <w:t>和后勤保障用车</w:t>
      </w:r>
      <w:r>
        <w:rPr>
          <w:rFonts w:hint="eastAsia" w:ascii="仿宋_GB2312" w:eastAsia="仿宋_GB2312"/>
          <w:color w:val="auto"/>
          <w:sz w:val="32"/>
          <w:szCs w:val="32"/>
          <w:highlight w:val="none"/>
          <w:lang w:val="en-US" w:eastAsia="zh-CN"/>
        </w:rPr>
        <w:t>1辆</w:t>
      </w:r>
      <w:r>
        <w:rPr>
          <w:rFonts w:hint="eastAsia" w:ascii="仿宋_GB2312" w:eastAsia="仿宋_GB2312"/>
          <w:sz w:val="32"/>
          <w:szCs w:val="32"/>
          <w:lang w:val="zh-CN"/>
        </w:rPr>
        <w:t>，均</w:t>
      </w:r>
      <w:r>
        <w:rPr>
          <w:rFonts w:hint="eastAsia" w:ascii="仿宋_GB2312" w:eastAsia="仿宋_GB2312"/>
          <w:sz w:val="32"/>
          <w:szCs w:val="32"/>
          <w:lang w:val="zh-CN" w:eastAsia="zh-CN"/>
        </w:rPr>
        <w:t>不属于公务用车，使用其他交通费，支付燃油及维修费</w:t>
      </w:r>
      <w:r>
        <w:rPr>
          <w:rFonts w:hint="eastAsia" w:ascii="仿宋_GB2312" w:eastAsia="仿宋_GB2312"/>
          <w:color w:val="auto"/>
          <w:sz w:val="32"/>
          <w:szCs w:val="32"/>
          <w:highlight w:val="none"/>
          <w:lang w:val="zh-CN" w:eastAsia="zh-CN"/>
        </w:rPr>
        <w:t>。</w:t>
      </w:r>
    </w:p>
    <w:p w14:paraId="5E346153">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公务接待费0.00万元，</w:t>
      </w:r>
      <w:r>
        <w:rPr>
          <w:rFonts w:hint="eastAsia" w:ascii="仿宋_GB2312" w:eastAsia="仿宋_GB2312"/>
          <w:sz w:val="32"/>
          <w:szCs w:val="32"/>
          <w:highlight w:val="none"/>
        </w:rPr>
        <w:t>开支内容</w:t>
      </w:r>
      <w:r>
        <w:rPr>
          <w:rFonts w:hint="eastAsia" w:ascii="仿宋_GB2312" w:eastAsia="仿宋_GB2312"/>
          <w:sz w:val="32"/>
          <w:szCs w:val="32"/>
          <w:highlight w:val="none"/>
          <w:lang w:eastAsia="zh-CN"/>
        </w:rPr>
        <w:t>包括无</w:t>
      </w:r>
      <w:r>
        <w:rPr>
          <w:rFonts w:hint="eastAsia" w:ascii="仿宋_GB2312" w:eastAsia="仿宋_GB2312"/>
          <w:color w:val="auto"/>
          <w:sz w:val="32"/>
          <w:szCs w:val="32"/>
          <w:highlight w:val="none"/>
          <w:lang w:val="zh-CN" w:eastAsia="zh-CN"/>
        </w:rPr>
        <w:t>公务接待费支出。单位全年安排的国内公务接待0批次，0人次。</w:t>
      </w:r>
    </w:p>
    <w:p w14:paraId="35B51668">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与</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预算相比</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lang w:val="zh-CN" w:eastAsia="zh-CN"/>
        </w:rPr>
        <w:t>财政拨款“三公”经费支出</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color w:val="auto"/>
          <w:sz w:val="32"/>
          <w:szCs w:val="32"/>
          <w:highlight w:val="none"/>
          <w:lang w:val="en-US" w:eastAsia="zh-CN"/>
        </w:rPr>
        <w:t>本年度本单位无“三公”经费支出</w:t>
      </w:r>
      <w:r>
        <w:rPr>
          <w:rFonts w:hint="eastAsia" w:ascii="仿宋_GB2312" w:eastAsia="仿宋_GB2312"/>
          <w:color w:val="auto"/>
          <w:sz w:val="32"/>
          <w:szCs w:val="32"/>
          <w:highlight w:val="none"/>
          <w:lang w:val="zh-CN" w:eastAsia="zh-CN"/>
        </w:rPr>
        <w:t>预算。其中：因公出国（境）费</w:t>
      </w:r>
      <w:r>
        <w:rPr>
          <w:rFonts w:hint="eastAsia" w:ascii="仿宋_GB2312" w:eastAsia="仿宋_GB2312"/>
          <w:color w:val="auto"/>
          <w:sz w:val="32"/>
          <w:szCs w:val="32"/>
          <w:highlight w:val="none"/>
          <w:lang w:val="en-US" w:eastAsia="zh-CN"/>
        </w:rPr>
        <w:t>全年预算数</w:t>
      </w:r>
      <w:r>
        <w:rPr>
          <w:rFonts w:hint="eastAsia" w:ascii="仿宋_GB2312" w:eastAsia="仿宋_GB2312"/>
          <w:color w:val="auto"/>
          <w:sz w:val="32"/>
          <w:szCs w:val="32"/>
          <w:highlight w:val="none"/>
          <w:lang w:val="zh-CN" w:eastAsia="zh-CN"/>
        </w:rPr>
        <w:t>0.00万元，决算数0.00万元，预决算差异率0.00%，主要原因是：</w:t>
      </w:r>
      <w:r>
        <w:rPr>
          <w:rFonts w:hint="eastAsia" w:ascii="仿宋_GB2312" w:eastAsia="仿宋_GB2312"/>
          <w:color w:val="auto"/>
          <w:sz w:val="32"/>
          <w:szCs w:val="32"/>
          <w:highlight w:val="none"/>
          <w:lang w:val="en-US" w:eastAsia="zh-CN"/>
        </w:rPr>
        <w:t>本年度本单位没有因公出国（境）费</w:t>
      </w:r>
      <w:r>
        <w:rPr>
          <w:rFonts w:hint="eastAsia" w:ascii="仿宋_GB2312" w:eastAsia="仿宋_GB2312"/>
          <w:color w:val="auto"/>
          <w:sz w:val="32"/>
          <w:szCs w:val="32"/>
          <w:highlight w:val="none"/>
          <w:lang w:val="zh-CN" w:eastAsia="zh-CN"/>
        </w:rPr>
        <w:t>；公务用车购置费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color w:val="auto"/>
          <w:sz w:val="32"/>
          <w:szCs w:val="32"/>
          <w:highlight w:val="none"/>
          <w:lang w:val="en-US" w:eastAsia="zh-CN"/>
        </w:rPr>
        <w:t>本年度没有公务用车购置费</w:t>
      </w:r>
      <w:r>
        <w:rPr>
          <w:rFonts w:hint="eastAsia" w:ascii="仿宋_GB2312" w:eastAsia="仿宋_GB2312"/>
          <w:color w:val="auto"/>
          <w:sz w:val="32"/>
          <w:szCs w:val="32"/>
          <w:highlight w:val="none"/>
          <w:lang w:val="zh-CN" w:eastAsia="zh-CN"/>
        </w:rPr>
        <w:t>；公务用车运行费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color w:val="auto"/>
          <w:sz w:val="32"/>
          <w:szCs w:val="32"/>
          <w:highlight w:val="none"/>
          <w:lang w:val="en-US" w:eastAsia="zh-CN"/>
        </w:rPr>
        <w:t>本年度没有公务用车运行维护费</w:t>
      </w:r>
      <w:r>
        <w:rPr>
          <w:rFonts w:hint="eastAsia" w:ascii="仿宋_GB2312" w:eastAsia="仿宋_GB2312"/>
          <w:color w:val="auto"/>
          <w:sz w:val="32"/>
          <w:szCs w:val="32"/>
          <w:highlight w:val="none"/>
          <w:lang w:val="zh-CN" w:eastAsia="zh-CN"/>
        </w:rPr>
        <w:t>；公务接待费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预算数0.00万元，决算数0.00万元，预决算差异率0.00%，主要原因是：本年度无公务接待费。</w:t>
      </w:r>
    </w:p>
    <w:p w14:paraId="6383CBBE">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8" w:name="_Toc5810"/>
      <w:bookmarkStart w:id="19" w:name="_Toc7927"/>
      <w:r>
        <w:rPr>
          <w:rFonts w:hint="eastAsia" w:ascii="黑体" w:hAnsi="黑体" w:eastAsia="黑体" w:cs="宋体"/>
          <w:bCs/>
          <w:color w:val="auto"/>
          <w:kern w:val="0"/>
          <w:sz w:val="32"/>
          <w:szCs w:val="32"/>
          <w:highlight w:val="none"/>
          <w:lang w:val="en-US" w:eastAsia="zh-CN"/>
        </w:rPr>
        <w:t>八</w:t>
      </w:r>
      <w:r>
        <w:rPr>
          <w:rFonts w:hint="eastAsia" w:ascii="黑体" w:hAnsi="黑体" w:eastAsia="黑体" w:cs="宋体"/>
          <w:bCs/>
          <w:color w:val="auto"/>
          <w:kern w:val="0"/>
          <w:sz w:val="32"/>
          <w:szCs w:val="32"/>
          <w:highlight w:val="none"/>
          <w:lang w:eastAsia="zh-CN"/>
        </w:rPr>
        <w:t>、政府性基金预算财政拨款收入支出决算情况说明</w:t>
      </w:r>
      <w:bookmarkEnd w:id="18"/>
      <w:bookmarkEnd w:id="19"/>
    </w:p>
    <w:p w14:paraId="1E78B054">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本年度无政府性基金预算财政拨款收入、支出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政府性基金预算财政拨款收入支出决算表为空表。</w:t>
      </w:r>
    </w:p>
    <w:p w14:paraId="6A7ADF7A">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仿宋_GB2312" w:eastAsia="仿宋_GB2312"/>
          <w:color w:val="auto"/>
          <w:sz w:val="32"/>
          <w:szCs w:val="32"/>
          <w:highlight w:val="none"/>
          <w:lang w:eastAsia="zh-CN"/>
        </w:rPr>
      </w:pPr>
      <w:r>
        <w:rPr>
          <w:rFonts w:hint="eastAsia" w:ascii="黑体" w:hAnsi="黑体" w:eastAsia="黑体" w:cs="宋体"/>
          <w:bCs/>
          <w:color w:val="auto"/>
          <w:kern w:val="0"/>
          <w:sz w:val="32"/>
          <w:szCs w:val="32"/>
          <w:highlight w:val="none"/>
          <w:lang w:val="en-US" w:eastAsia="zh-CN"/>
        </w:rPr>
        <w:t>九</w:t>
      </w:r>
      <w:r>
        <w:rPr>
          <w:rFonts w:hint="eastAsia" w:ascii="黑体" w:hAnsi="黑体" w:eastAsia="黑体" w:cs="宋体"/>
          <w:bCs/>
          <w:color w:val="auto"/>
          <w:kern w:val="0"/>
          <w:sz w:val="32"/>
          <w:szCs w:val="32"/>
          <w:highlight w:val="none"/>
          <w:lang w:eastAsia="zh-CN"/>
        </w:rPr>
        <w:t>、国有资本经营预算财政拨款收入支出决算情况说明</w:t>
      </w:r>
    </w:p>
    <w:p w14:paraId="0CA3A58D">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本年度无国有资本经营预算财政拨款收入、支出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，国有资本经营</w:t>
      </w:r>
      <w:r>
        <w:rPr>
          <w:rFonts w:hint="eastAsia" w:ascii="仿宋_GB2312" w:eastAsia="仿宋_GB2312"/>
          <w:color w:val="auto"/>
          <w:sz w:val="32"/>
          <w:szCs w:val="32"/>
          <w:highlight w:val="none"/>
        </w:rPr>
        <w:t>预算财政拨款收入支出决算表为空表。</w:t>
      </w:r>
    </w:p>
    <w:p w14:paraId="30CCD2D0">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0" w:name="_Toc7314"/>
      <w:bookmarkStart w:id="21" w:name="_Toc1235"/>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rPr>
        <w:t>、其他重要事项的情况</w:t>
      </w:r>
      <w:r>
        <w:rPr>
          <w:rFonts w:hint="eastAsia" w:ascii="黑体" w:hAnsi="黑体" w:eastAsia="黑体" w:cs="宋体"/>
          <w:bCs/>
          <w:color w:val="auto"/>
          <w:kern w:val="0"/>
          <w:sz w:val="32"/>
          <w:szCs w:val="32"/>
          <w:highlight w:val="none"/>
          <w:lang w:eastAsia="zh-CN"/>
        </w:rPr>
        <w:t>说明</w:t>
      </w:r>
      <w:bookmarkEnd w:id="20"/>
      <w:bookmarkEnd w:id="21"/>
    </w:p>
    <w:p w14:paraId="57E16536">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rPr>
      </w:pPr>
      <w:bookmarkStart w:id="22" w:name="_Toc13105"/>
      <w:bookmarkStart w:id="23" w:name="_Toc14519"/>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机关运行经费支出情况</w:t>
      </w:r>
      <w:bookmarkEnd w:id="22"/>
      <w:bookmarkEnd w:id="23"/>
    </w:p>
    <w:p w14:paraId="4A498542">
      <w:pPr>
        <w:ind w:firstLine="640" w:firstLineChars="200"/>
        <w:rPr>
          <w:rFonts w:hint="eastAsia" w:ascii="Times New Roman" w:hAnsi="Times New Roman" w:eastAsia="仿宋_GB2312" w:cs="Times New Roman"/>
          <w:color w:val="auto"/>
          <w:sz w:val="32"/>
          <w:szCs w:val="32"/>
          <w:highlight w:val="none"/>
          <w:shd w:val="clear" w:color="auto" w:fill="auto"/>
          <w:lang w:val="zh-CN" w:eastAsia="zh-CN"/>
        </w:rPr>
      </w:pPr>
      <w:bookmarkStart w:id="24" w:name="_Toc227"/>
      <w:bookmarkStart w:id="25" w:name="_Toc26704"/>
      <w:r>
        <w:rPr>
          <w:rFonts w:hint="eastAsia" w:ascii="Times New Roman" w:hAnsi="Times New Roman" w:eastAsia="仿宋_GB2312" w:cs="Times New Roman"/>
          <w:color w:val="auto"/>
          <w:sz w:val="32"/>
          <w:szCs w:val="32"/>
          <w:highlight w:val="none"/>
          <w:shd w:val="clear" w:color="auto" w:fill="auto"/>
          <w:lang w:val="zh-CN" w:eastAsia="zh-CN"/>
        </w:rPr>
        <w:t>2023年度</w:t>
      </w:r>
      <w:r>
        <w:rPr>
          <w:rFonts w:hint="eastAsia" w:ascii="Times New Roman" w:hAnsi="Times New Roman" w:eastAsia="仿宋_GB2312" w:cs="Times New Roman"/>
          <w:color w:val="auto"/>
          <w:sz w:val="32"/>
          <w:szCs w:val="32"/>
          <w:highlight w:val="none"/>
          <w:shd w:val="clear" w:color="auto" w:fill="auto"/>
          <w:lang w:val="en-US" w:eastAsia="zh-CN"/>
        </w:rPr>
        <w:t>乌鲁木齐市国土资源执法监察支队（行政单位和参照公务员法管理事业单位）机关运行经费支出35.17万元，比上年减少8.65万元，下降19.74%，主要原因是：厉行勤俭节约，压减公用支出。</w:t>
      </w:r>
    </w:p>
    <w:p w14:paraId="5A1D4920">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shd w:val="clear" w:color="auto" w:fill="auto"/>
          <w:lang w:val="zh-CN" w:eastAsia="zh-CN"/>
        </w:rPr>
      </w:pPr>
      <w:r>
        <w:rPr>
          <w:rFonts w:hint="eastAsia" w:ascii="Times New Roman" w:hAnsi="Times New Roman" w:eastAsia="黑体" w:cs="Times New Roman"/>
          <w:color w:val="auto"/>
          <w:sz w:val="32"/>
          <w:szCs w:val="30"/>
          <w:highlight w:val="none"/>
          <w:shd w:val="clear" w:color="auto" w:fill="auto"/>
          <w:lang w:val="zh-CN" w:eastAsia="zh-CN"/>
        </w:rPr>
        <w:t>（二）政府采购情况</w:t>
      </w:r>
      <w:bookmarkEnd w:id="24"/>
      <w:bookmarkEnd w:id="25"/>
    </w:p>
    <w:p w14:paraId="2868975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rPr>
      </w:pPr>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zh-CN"/>
        </w:rPr>
        <w:t>政府采购支出总额</w:t>
      </w:r>
      <w:r>
        <w:rPr>
          <w:rFonts w:hint="eastAsia" w:ascii="Times New Roman" w:hAnsi="Times New Roman" w:eastAsia="仿宋_GB2312" w:cs="Times New Roman"/>
          <w:color w:val="auto"/>
          <w:sz w:val="32"/>
          <w:szCs w:val="32"/>
          <w:highlight w:val="none"/>
          <w:lang w:val="zh-CN" w:eastAsia="zh-CN"/>
        </w:rPr>
        <w:t>0.00万元</w:t>
      </w:r>
      <w:r>
        <w:rPr>
          <w:rFonts w:hint="eastAsia" w:ascii="Times New Roman" w:hAnsi="Times New Roman" w:eastAsia="仿宋_GB2312" w:cs="Times New Roman"/>
          <w:color w:val="auto"/>
          <w:sz w:val="32"/>
          <w:szCs w:val="32"/>
          <w:highlight w:val="none"/>
          <w:lang w:val="zh-CN"/>
        </w:rPr>
        <w:t>，</w:t>
      </w:r>
      <w:r>
        <w:rPr>
          <w:rFonts w:hint="eastAsia" w:ascii="Times New Roman" w:hAnsi="Times New Roman" w:eastAsia="仿宋_GB2312" w:cs="Times New Roman"/>
          <w:color w:val="auto"/>
          <w:sz w:val="32"/>
          <w:szCs w:val="32"/>
          <w:highlight w:val="none"/>
          <w:lang w:val="zh-CN" w:eastAsia="zh-CN"/>
        </w:rPr>
        <w:t>其中：政府采购货物支出0.00万元、政府采购工程支出0.00万元、政府采购服务支出0.00万元。</w:t>
      </w:r>
    </w:p>
    <w:p w14:paraId="3087C53E">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zh-CN" w:eastAsia="zh-CN"/>
        </w:rPr>
        <w:t>授予中小企业合同金额0.00万元，占政府采购支出总额的0.00</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zh-CN" w:eastAsia="zh-CN"/>
        </w:rPr>
        <w:t>，其中：授予小微企业合同金额0.00万元，占政府采购支出总额的0.00</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w:t>
      </w:r>
    </w:p>
    <w:p w14:paraId="60546832">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bookmarkStart w:id="26" w:name="_Toc8391"/>
      <w:bookmarkStart w:id="27" w:name="_Toc4591"/>
      <w:r>
        <w:rPr>
          <w:rFonts w:hint="eastAsia" w:ascii="Times New Roman" w:hAnsi="Times New Roman" w:eastAsia="黑体" w:cs="Times New Roman"/>
          <w:color w:val="auto"/>
          <w:sz w:val="32"/>
          <w:szCs w:val="30"/>
          <w:highlight w:val="none"/>
          <w:lang w:val="zh-CN" w:eastAsia="zh-CN"/>
        </w:rPr>
        <w:t>（三）国有资产占用情况说明</w:t>
      </w:r>
      <w:bookmarkEnd w:id="26"/>
      <w:bookmarkEnd w:id="27"/>
    </w:p>
    <w:p w14:paraId="5285C024">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eastAsia="zh-CN"/>
        </w:rPr>
      </w:pPr>
      <w:r>
        <w:rPr>
          <w:rFonts w:hint="eastAsia" w:ascii="Times New Roman" w:hAnsi="Times New Roman" w:eastAsia="仿宋_GB2312" w:cs="Times New Roman"/>
          <w:color w:val="auto"/>
          <w:sz w:val="32"/>
          <w:szCs w:val="32"/>
          <w:highlight w:val="none"/>
          <w:lang w:val="en-US" w:eastAsia="zh-CN"/>
        </w:rPr>
        <w:t>截至2023</w:t>
      </w:r>
      <w:r>
        <w:rPr>
          <w:rFonts w:hint="eastAsia" w:ascii="Times New Roman" w:hAnsi="Times New Roman" w:eastAsia="仿宋_GB2312" w:cs="Times New Roman"/>
          <w:color w:val="auto"/>
          <w:sz w:val="32"/>
          <w:szCs w:val="32"/>
          <w:highlight w:val="none"/>
          <w:lang w:val="zh-CN" w:eastAsia="zh-CN"/>
        </w:rPr>
        <w:t>年</w:t>
      </w:r>
      <w:r>
        <w:rPr>
          <w:rFonts w:hint="eastAsia" w:ascii="Times New Roman" w:hAnsi="Times New Roman" w:eastAsia="仿宋_GB2312" w:cs="Times New Roman"/>
          <w:color w:val="auto"/>
          <w:sz w:val="32"/>
          <w:szCs w:val="32"/>
          <w:highlight w:val="none"/>
          <w:lang w:val="en-US" w:eastAsia="zh-CN"/>
        </w:rPr>
        <w:t>12月31日</w:t>
      </w:r>
      <w:r>
        <w:rPr>
          <w:rFonts w:hint="eastAsia"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固定资产原值</w:t>
      </w:r>
      <w:r>
        <w:rPr>
          <w:rFonts w:hint="eastAsia" w:ascii="Times New Roman" w:hAnsi="Times New Roman" w:eastAsia="仿宋_GB2312" w:cs="Times New Roman"/>
          <w:color w:val="auto"/>
          <w:sz w:val="32"/>
          <w:szCs w:val="32"/>
          <w:highlight w:val="none"/>
          <w:lang w:val="zh-CN" w:eastAsia="zh-CN"/>
        </w:rPr>
        <w:t>746.33</w:t>
      </w:r>
      <w:r>
        <w:rPr>
          <w:rFonts w:hint="eastAsia" w:ascii="Times New Roman" w:hAnsi="Times New Roman" w:eastAsia="仿宋_GB2312" w:cs="Times New Roman"/>
          <w:color w:val="auto"/>
          <w:sz w:val="32"/>
          <w:szCs w:val="32"/>
          <w:highlight w:val="none"/>
          <w:lang w:val="en-US" w:eastAsia="zh-CN"/>
        </w:rPr>
        <w:t>万元，房</w:t>
      </w:r>
      <w:r>
        <w:rPr>
          <w:rFonts w:hint="eastAsia" w:ascii="Times New Roman" w:hAnsi="Times New Roman" w:eastAsia="仿宋_GB2312" w:cs="Times New Roman"/>
          <w:color w:val="auto"/>
          <w:sz w:val="32"/>
          <w:szCs w:val="32"/>
          <w:highlight w:val="none"/>
          <w:lang w:val="zh-CN" w:eastAsia="zh-CN"/>
        </w:rPr>
        <w:t>屋465.78平方米，价值416.27万元。车辆6辆，价值169.20万元，其中：副部（省）级及以上领导用车0辆、主要</w:t>
      </w:r>
      <w:r>
        <w:rPr>
          <w:rFonts w:hint="eastAsia" w:ascii="Times New Roman" w:hAnsi="Times New Roman" w:eastAsia="仿宋_GB2312" w:cs="Times New Roman"/>
          <w:color w:val="auto"/>
          <w:sz w:val="32"/>
          <w:szCs w:val="32"/>
          <w:highlight w:val="none"/>
          <w:lang w:val="en-US" w:eastAsia="zh-CN"/>
        </w:rPr>
        <w:t>负责人</w:t>
      </w:r>
      <w:r>
        <w:rPr>
          <w:rFonts w:hint="eastAsia" w:ascii="Times New Roman" w:hAnsi="Times New Roman" w:eastAsia="仿宋_GB2312" w:cs="Times New Roman"/>
          <w:color w:val="auto"/>
          <w:sz w:val="32"/>
          <w:szCs w:val="32"/>
          <w:highlight w:val="none"/>
          <w:lang w:val="zh-CN" w:eastAsia="zh-CN"/>
        </w:rPr>
        <w:t>用车0辆、机要通信用车0辆、应急保障用车0辆、执法执勤用车5辆、特种专业技术用车0辆、离退休干部</w:t>
      </w:r>
      <w:r>
        <w:rPr>
          <w:rFonts w:hint="eastAsia" w:ascii="Times New Roman" w:hAnsi="Times New Roman" w:eastAsia="仿宋_GB2312" w:cs="Times New Roman"/>
          <w:color w:val="auto"/>
          <w:sz w:val="32"/>
          <w:szCs w:val="32"/>
          <w:highlight w:val="none"/>
          <w:lang w:val="en-US" w:eastAsia="zh-CN"/>
        </w:rPr>
        <w:t>服务</w:t>
      </w:r>
      <w:r>
        <w:rPr>
          <w:rFonts w:hint="eastAsia" w:ascii="Times New Roman" w:hAnsi="Times New Roman" w:eastAsia="仿宋_GB2312" w:cs="Times New Roman"/>
          <w:color w:val="auto"/>
          <w:sz w:val="32"/>
          <w:szCs w:val="32"/>
          <w:highlight w:val="none"/>
          <w:lang w:val="zh-CN" w:eastAsia="zh-CN"/>
        </w:rPr>
        <w:t>用车0辆、其他用车1辆，其他用车主要是：</w:t>
      </w:r>
      <w:r>
        <w:rPr>
          <w:rFonts w:hint="eastAsia" w:eastAsia="仿宋_GB2312" w:cs="Times New Roman"/>
          <w:color w:val="auto"/>
          <w:sz w:val="32"/>
          <w:szCs w:val="32"/>
          <w:highlight w:val="none"/>
          <w:lang w:val="zh-CN" w:eastAsia="zh-CN"/>
        </w:rPr>
        <w:t>后勤保障用车</w:t>
      </w:r>
      <w:r>
        <w:rPr>
          <w:rFonts w:hint="eastAsia" w:ascii="Times New Roman" w:hAnsi="Times New Roman" w:eastAsia="仿宋_GB2312" w:cs="Times New Roman"/>
          <w:color w:val="auto"/>
          <w:sz w:val="32"/>
          <w:szCs w:val="32"/>
          <w:highlight w:val="none"/>
          <w:lang w:val="zh-CN" w:eastAsia="zh-CN"/>
        </w:rPr>
        <w:t>；单价100万元（含）以上设备（不含车辆）0</w:t>
      </w:r>
      <w:r>
        <w:rPr>
          <w:rFonts w:hint="eastAsia" w:ascii="Times New Roman" w:hAnsi="Times New Roman" w:eastAsia="仿宋_GB2312" w:cs="Times New Roman"/>
          <w:color w:val="auto"/>
          <w:sz w:val="32"/>
          <w:szCs w:val="32"/>
          <w:highlight w:val="none"/>
          <w:lang w:val="en-US" w:eastAsia="zh-CN"/>
        </w:rPr>
        <w:t>台（</w:t>
      </w:r>
      <w:r>
        <w:rPr>
          <w:rFonts w:hint="eastAsia" w:ascii="Times New Roman" w:hAnsi="Times New Roman" w:eastAsia="仿宋_GB2312" w:cs="Times New Roman"/>
          <w:color w:val="auto"/>
          <w:sz w:val="32"/>
          <w:szCs w:val="32"/>
          <w:highlight w:val="none"/>
          <w:lang w:val="zh-CN" w:eastAsia="zh-CN"/>
        </w:rPr>
        <w:t>套）。</w:t>
      </w:r>
    </w:p>
    <w:p w14:paraId="16731C1E">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8" w:name="_Toc11283"/>
      <w:bookmarkStart w:id="29" w:name="_Toc435"/>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一</w:t>
      </w:r>
      <w:r>
        <w:rPr>
          <w:rFonts w:hint="eastAsia" w:ascii="黑体" w:hAnsi="黑体" w:eastAsia="黑体" w:cs="宋体"/>
          <w:bCs/>
          <w:color w:val="auto"/>
          <w:kern w:val="0"/>
          <w:sz w:val="32"/>
          <w:szCs w:val="32"/>
          <w:highlight w:val="none"/>
          <w:lang w:eastAsia="zh-CN"/>
        </w:rPr>
        <w:t>、预算绩效的情况说明</w:t>
      </w:r>
      <w:bookmarkEnd w:id="28"/>
      <w:bookmarkEnd w:id="29"/>
    </w:p>
    <w:p w14:paraId="78623986">
      <w:pPr>
        <w:ind w:firstLine="640" w:firstLineChars="200"/>
        <w:rPr>
          <w:rFonts w:ascii="仿宋_GB2312" w:eastAsia="仿宋_GB2312"/>
          <w:sz w:val="32"/>
          <w:szCs w:val="32"/>
        </w:rPr>
      </w:pPr>
      <w:r>
        <w:rPr>
          <w:rFonts w:hint="eastAsia" w:ascii="仿宋_GB2312" w:eastAsia="仿宋_GB2312"/>
          <w:color w:val="auto"/>
          <w:sz w:val="32"/>
          <w:szCs w:val="32"/>
          <w:highlight w:val="none"/>
          <w:lang w:eastAsia="zh-CN"/>
        </w:rPr>
        <w:t>根据预算绩效管理要求，我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2023年度</w:t>
      </w:r>
      <w:r>
        <w:rPr>
          <w:rFonts w:hint="eastAsia" w:ascii="仿宋_GB2312" w:hAnsi="仿宋_GB2312" w:eastAsia="仿宋_GB2312" w:cs="仿宋_GB2312"/>
          <w:color w:val="auto"/>
          <w:kern w:val="0"/>
          <w:sz w:val="32"/>
          <w:szCs w:val="32"/>
          <w:highlight w:val="none"/>
        </w:rPr>
        <w:t>预算绩效管理整体</w:t>
      </w:r>
      <w:r>
        <w:rPr>
          <w:rFonts w:hint="eastAsia" w:ascii="仿宋_GB2312" w:hAnsi="仿宋_GB2312" w:eastAsia="仿宋_GB2312" w:cs="仿宋_GB2312"/>
          <w:color w:val="auto"/>
          <w:kern w:val="0"/>
          <w:sz w:val="32"/>
          <w:szCs w:val="32"/>
          <w:highlight w:val="none"/>
          <w:lang w:val="en-US" w:eastAsia="zh-CN"/>
        </w:rPr>
        <w:t>支出</w:t>
      </w:r>
      <w:r>
        <w:rPr>
          <w:rFonts w:hint="eastAsia" w:ascii="仿宋_GB2312" w:hAnsi="仿宋_GB2312" w:eastAsia="仿宋_GB2312" w:cs="仿宋_GB2312"/>
          <w:color w:val="auto"/>
          <w:kern w:val="0"/>
          <w:sz w:val="32"/>
          <w:szCs w:val="32"/>
          <w:highlight w:val="none"/>
        </w:rPr>
        <w:t>绩效自评表</w:t>
      </w:r>
      <w:r>
        <w:rPr>
          <w:rFonts w:hint="eastAsia" w:ascii="仿宋_GB2312" w:eastAsia="仿宋_GB2312"/>
          <w:color w:val="auto"/>
          <w:sz w:val="32"/>
          <w:szCs w:val="32"/>
          <w:highlight w:val="none"/>
          <w:lang w:val="en-US" w:eastAsia="zh-CN"/>
        </w:rPr>
        <w:t>0</w:t>
      </w:r>
      <w:r>
        <w:rPr>
          <w:rFonts w:hint="eastAsia" w:ascii="仿宋_GB2312" w:hAnsi="仿宋_GB2312" w:eastAsia="仿宋_GB2312" w:cs="仿宋_GB2312"/>
          <w:color w:val="auto"/>
          <w:kern w:val="0"/>
          <w:sz w:val="32"/>
          <w:szCs w:val="32"/>
          <w:highlight w:val="none"/>
          <w:lang w:val="en-US" w:eastAsia="zh-CN"/>
        </w:rPr>
        <w:t>个，全年</w:t>
      </w:r>
      <w:r>
        <w:rPr>
          <w:rFonts w:hint="eastAsia" w:ascii="仿宋_GB2312" w:eastAsia="仿宋_GB2312"/>
          <w:color w:val="auto"/>
          <w:sz w:val="32"/>
          <w:szCs w:val="32"/>
          <w:highlight w:val="none"/>
          <w:lang w:val="en-US" w:eastAsia="zh-CN"/>
        </w:rPr>
        <w:t>预算总额0.00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实际执行总额0.00</w:t>
      </w:r>
      <w:r>
        <w:rPr>
          <w:rFonts w:hint="eastAsia" w:ascii="仿宋_GB2312" w:eastAsia="仿宋_GB2312"/>
          <w:color w:val="auto"/>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w:t>
      </w:r>
      <w:r>
        <w:rPr>
          <w:rFonts w:hint="eastAsia" w:ascii="仿宋_GB2312" w:eastAsia="仿宋_GB2312"/>
          <w:color w:val="auto"/>
          <w:sz w:val="32"/>
          <w:szCs w:val="32"/>
          <w:highlight w:val="none"/>
          <w:lang w:eastAsia="zh-CN"/>
        </w:rPr>
        <w:t>预算绩效评价项目</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lang w:eastAsia="zh-CN"/>
        </w:rPr>
        <w:t>个，</w:t>
      </w:r>
      <w:r>
        <w:rPr>
          <w:rFonts w:hint="eastAsia" w:ascii="仿宋_GB2312" w:eastAsia="仿宋_GB2312"/>
          <w:color w:val="auto"/>
          <w:sz w:val="32"/>
          <w:szCs w:val="32"/>
          <w:highlight w:val="none"/>
          <w:lang w:val="en-US" w:eastAsia="zh-CN"/>
        </w:rPr>
        <w:t>全年预算数0.00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全年执行数0.00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sz w:val="32"/>
          <w:szCs w:val="32"/>
        </w:rPr>
        <w:t>预算绩效管理取得的成效：</w:t>
      </w:r>
      <w:r>
        <w:rPr>
          <w:rFonts w:hint="eastAsia" w:ascii="仿宋_GB2312" w:eastAsia="仿宋_GB2312"/>
          <w:sz w:val="32"/>
          <w:szCs w:val="32"/>
          <w:lang w:eastAsia="zh-CN"/>
        </w:rPr>
        <w:t>我单位无</w:t>
      </w:r>
      <w:r>
        <w:rPr>
          <w:rFonts w:hint="eastAsia" w:ascii="仿宋_GB2312" w:eastAsia="仿宋_GB2312"/>
          <w:color w:val="auto"/>
          <w:sz w:val="32"/>
          <w:szCs w:val="32"/>
          <w:highlight w:val="none"/>
          <w:lang w:eastAsia="zh-CN"/>
        </w:rPr>
        <w:t>预算绩效评价项目。</w:t>
      </w:r>
      <w:r>
        <w:rPr>
          <w:rFonts w:hint="eastAsia" w:ascii="仿宋_GB2312" w:eastAsia="仿宋_GB2312"/>
          <w:sz w:val="32"/>
          <w:szCs w:val="32"/>
        </w:rPr>
        <w:t>发现的问题及原因：</w:t>
      </w:r>
      <w:r>
        <w:rPr>
          <w:rFonts w:hint="eastAsia" w:ascii="仿宋_GB2312" w:eastAsia="仿宋_GB2312"/>
          <w:sz w:val="32"/>
          <w:szCs w:val="32"/>
          <w:lang w:eastAsia="zh-CN"/>
        </w:rPr>
        <w:t>我单位无</w:t>
      </w:r>
      <w:r>
        <w:rPr>
          <w:rFonts w:hint="eastAsia" w:ascii="仿宋_GB2312" w:eastAsia="仿宋_GB2312"/>
          <w:color w:val="auto"/>
          <w:sz w:val="32"/>
          <w:szCs w:val="32"/>
          <w:highlight w:val="none"/>
          <w:lang w:eastAsia="zh-CN"/>
        </w:rPr>
        <w:t>预算绩效评价项目。</w:t>
      </w:r>
      <w:r>
        <w:rPr>
          <w:rFonts w:hint="eastAsia" w:ascii="仿宋_GB2312" w:eastAsia="仿宋_GB2312"/>
          <w:sz w:val="32"/>
          <w:szCs w:val="32"/>
        </w:rPr>
        <w:t>下一步改进措施：</w:t>
      </w:r>
      <w:r>
        <w:rPr>
          <w:rFonts w:hint="eastAsia" w:ascii="仿宋_GB2312" w:eastAsia="仿宋_GB2312"/>
          <w:sz w:val="32"/>
          <w:szCs w:val="32"/>
          <w:lang w:eastAsia="zh-CN"/>
        </w:rPr>
        <w:t>我单位无</w:t>
      </w:r>
      <w:r>
        <w:rPr>
          <w:rFonts w:hint="eastAsia" w:ascii="仿宋_GB2312" w:eastAsia="仿宋_GB2312"/>
          <w:color w:val="auto"/>
          <w:sz w:val="32"/>
          <w:szCs w:val="32"/>
          <w:highlight w:val="none"/>
          <w:lang w:eastAsia="zh-CN"/>
        </w:rPr>
        <w:t>预算绩效评价项目</w:t>
      </w:r>
      <w:bookmarkStart w:id="48" w:name="_GoBack"/>
      <w:bookmarkEnd w:id="48"/>
      <w:r>
        <w:rPr>
          <w:rFonts w:hint="eastAsia" w:ascii="仿宋_GB2312" w:eastAsia="仿宋_GB2312"/>
          <w:sz w:val="32"/>
          <w:szCs w:val="32"/>
        </w:rPr>
        <w:t>。</w:t>
      </w:r>
    </w:p>
    <w:p w14:paraId="63447F01">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二</w:t>
      </w:r>
      <w:r>
        <w:rPr>
          <w:rFonts w:hint="eastAsia" w:ascii="黑体" w:hAnsi="黑体" w:eastAsia="黑体" w:cs="宋体"/>
          <w:bCs/>
          <w:color w:val="auto"/>
          <w:kern w:val="0"/>
          <w:sz w:val="32"/>
          <w:szCs w:val="32"/>
          <w:highlight w:val="none"/>
          <w:lang w:eastAsia="zh-CN"/>
        </w:rPr>
        <w:t>、其他需说明的事项</w:t>
      </w:r>
    </w:p>
    <w:p w14:paraId="42BE4A82">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仿宋_GB2312" w:hAnsi="仿宋_GB2312" w:eastAsia="仿宋_GB2312" w:cs="仿宋_GB2312"/>
          <w:color w:val="auto"/>
          <w:kern w:val="0"/>
          <w:sz w:val="32"/>
          <w:szCs w:val="32"/>
          <w:highlight w:val="none"/>
          <w:lang w:val="en-US" w:eastAsia="zh-CN"/>
        </w:rPr>
      </w:pPr>
      <w:bookmarkStart w:id="30" w:name="_Toc24143"/>
      <w:bookmarkStart w:id="31" w:name="_Toc3250"/>
      <w:r>
        <w:rPr>
          <w:rFonts w:hint="eastAsia" w:ascii="仿宋_GB2312" w:hAnsi="仿宋_GB2312" w:eastAsia="仿宋_GB2312" w:cs="仿宋_GB2312"/>
          <w:color w:val="auto"/>
          <w:kern w:val="0"/>
          <w:sz w:val="32"/>
          <w:szCs w:val="32"/>
          <w:highlight w:val="none"/>
          <w:lang w:val="en-US" w:eastAsia="zh-CN"/>
        </w:rPr>
        <w:t>授予中小企业合同金额、授予小微企业合同金额为0.00万元，主要原因是：我单位为自治区垂直管理单位，不在自治区集中采购范围内，所以无政府采购相关情况。</w:t>
      </w:r>
      <w:bookmarkEnd w:id="30"/>
      <w:bookmarkEnd w:id="31"/>
    </w:p>
    <w:p w14:paraId="09C9A217">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仿宋_GB2312" w:hAnsi="仿宋_GB2312" w:eastAsia="仿宋_GB2312" w:cs="仿宋_GB2312"/>
          <w:color w:val="auto"/>
          <w:kern w:val="0"/>
          <w:sz w:val="32"/>
          <w:szCs w:val="32"/>
          <w:highlight w:val="none"/>
          <w:lang w:val="en-US" w:eastAsia="zh-CN"/>
        </w:rPr>
      </w:pPr>
    </w:p>
    <w:p w14:paraId="6939F8B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仿宋_GB2312" w:hAnsi="仿宋_GB2312" w:eastAsia="仿宋_GB2312" w:cs="仿宋_GB2312"/>
          <w:color w:val="auto"/>
          <w:kern w:val="0"/>
          <w:sz w:val="32"/>
          <w:szCs w:val="32"/>
          <w:highlight w:val="none"/>
          <w:lang w:val="en-US" w:eastAsia="zh-CN"/>
        </w:rPr>
      </w:pPr>
    </w:p>
    <w:p w14:paraId="1D57793B">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仿宋_GB2312" w:hAnsi="仿宋_GB2312" w:eastAsia="仿宋_GB2312" w:cs="仿宋_GB2312"/>
          <w:color w:val="auto"/>
          <w:kern w:val="0"/>
          <w:sz w:val="32"/>
          <w:szCs w:val="32"/>
          <w:highlight w:val="none"/>
          <w:lang w:val="en-US" w:eastAsia="zh-CN"/>
        </w:rPr>
      </w:pPr>
    </w:p>
    <w:p w14:paraId="5DA15672">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仿宋_GB2312" w:hAnsi="仿宋_GB2312" w:eastAsia="仿宋_GB2312" w:cs="仿宋_GB2312"/>
          <w:color w:val="auto"/>
          <w:kern w:val="0"/>
          <w:sz w:val="32"/>
          <w:szCs w:val="32"/>
          <w:highlight w:val="none"/>
          <w:lang w:val="en-US" w:eastAsia="zh-CN"/>
        </w:rPr>
      </w:pPr>
    </w:p>
    <w:p w14:paraId="7982875E">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ascii="仿宋_GB2312" w:hAnsi="仿宋_GB2312" w:eastAsia="仿宋_GB2312" w:cs="仿宋_GB2312"/>
          <w:color w:val="auto"/>
          <w:kern w:val="0"/>
          <w:sz w:val="32"/>
          <w:szCs w:val="32"/>
          <w:highlight w:val="none"/>
          <w:lang w:val="en-US" w:eastAsia="zh-CN"/>
        </w:rPr>
      </w:pPr>
    </w:p>
    <w:p w14:paraId="1FC45D28">
      <w:pPr>
        <w:ind w:firstLine="2240" w:firstLineChars="700"/>
        <w:outlineLvl w:val="0"/>
        <w:rPr>
          <w:rFonts w:ascii="黑体" w:hAnsi="黑体" w:eastAsia="黑体"/>
          <w:sz w:val="32"/>
          <w:szCs w:val="32"/>
        </w:rPr>
      </w:pPr>
      <w:r>
        <w:rPr>
          <w:rFonts w:hint="eastAsia" w:ascii="黑体" w:hAnsi="黑体" w:eastAsia="黑体"/>
          <w:sz w:val="32"/>
          <w:szCs w:val="32"/>
        </w:rPr>
        <w:t>第三部分 专业名词解释</w:t>
      </w:r>
    </w:p>
    <w:p w14:paraId="57BC822F">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一、财政拨款收入：</w:t>
      </w:r>
      <w:r>
        <w:rPr>
          <w:rFonts w:hint="eastAsia" w:ascii="仿宋_GB2312" w:eastAsia="仿宋_GB2312"/>
          <w:sz w:val="32"/>
          <w:szCs w:val="32"/>
        </w:rPr>
        <w:t>指同级财政当年拨付的资金。</w:t>
      </w:r>
    </w:p>
    <w:p w14:paraId="132600A4">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二、上级补助收入：</w:t>
      </w:r>
      <w:r>
        <w:rPr>
          <w:rFonts w:hint="eastAsia" w:ascii="仿宋_GB2312" w:eastAsia="仿宋_GB2312"/>
          <w:sz w:val="32"/>
          <w:szCs w:val="32"/>
        </w:rPr>
        <w:t>指事业单位从主管部门和上级单位取得的非财政补助收入。</w:t>
      </w:r>
    </w:p>
    <w:p w14:paraId="19E7E132">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三、事业收入：</w:t>
      </w:r>
      <w:r>
        <w:rPr>
          <w:rFonts w:hint="eastAsia" w:ascii="仿宋_GB2312" w:eastAsia="仿宋_GB2312"/>
          <w:sz w:val="32"/>
          <w:szCs w:val="32"/>
        </w:rPr>
        <w:t>指事业单位开展专业业务活动及其辅助活动所取得的收入。</w:t>
      </w:r>
    </w:p>
    <w:p w14:paraId="002BC53B">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四、经营收入：</w:t>
      </w:r>
      <w:r>
        <w:rPr>
          <w:rFonts w:hint="eastAsia" w:ascii="仿宋_GB2312" w:eastAsia="仿宋_GB2312"/>
          <w:sz w:val="32"/>
          <w:szCs w:val="32"/>
        </w:rPr>
        <w:t>指事业单位在专业业务活动及其辅助活动之外开展非独立核算经营活动取得的收入。</w:t>
      </w:r>
    </w:p>
    <w:p w14:paraId="3B6AD180">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五、附属单位上缴收入：</w:t>
      </w:r>
      <w:r>
        <w:rPr>
          <w:rFonts w:hint="eastAsia" w:ascii="仿宋_GB2312" w:eastAsia="仿宋_GB2312"/>
          <w:sz w:val="32"/>
          <w:szCs w:val="32"/>
        </w:rPr>
        <w:t>指事业单位附属的独立核算单位按有关规定上缴的收入。</w:t>
      </w:r>
    </w:p>
    <w:p w14:paraId="3509B98C">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六、其他收入：</w:t>
      </w:r>
      <w:r>
        <w:rPr>
          <w:rFonts w:hint="eastAsia" w:ascii="仿宋_GB2312" w:eastAsia="仿宋_GB2312"/>
          <w:sz w:val="32"/>
          <w:szCs w:val="32"/>
        </w:rPr>
        <w:t>指除上述“财政拨款收入”、“事业收入”、“经营收入”、“附属单位上缴收入”等之外取得的收入。</w:t>
      </w:r>
    </w:p>
    <w:p w14:paraId="683CCE0E">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七、年初结转和结余：</w:t>
      </w:r>
      <w:r>
        <w:rPr>
          <w:rFonts w:hint="eastAsia" w:ascii="仿宋_GB2312" w:eastAsia="仿宋_GB2312"/>
          <w:sz w:val="32"/>
          <w:szCs w:val="32"/>
        </w:rPr>
        <w:t>指以前年度支出预算因客观条件变化未执行完毕、结转到本年度按有关规定继续使用的资金，既包括财政拨款结转和结余，也包括事业收入、经营收入、其他收入的结转和结余。</w:t>
      </w:r>
    </w:p>
    <w:p w14:paraId="126309AF">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八、年末结转和结余：</w:t>
      </w:r>
      <w:r>
        <w:rPr>
          <w:rFonts w:hint="eastAsia" w:ascii="仿宋_GB2312" w:eastAsia="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5290A10C">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九、基本支出：</w:t>
      </w:r>
      <w:r>
        <w:rPr>
          <w:rFonts w:hint="eastAsia" w:ascii="仿宋_GB2312" w:eastAsia="仿宋_GB2312"/>
          <w:sz w:val="32"/>
          <w:szCs w:val="32"/>
        </w:rPr>
        <w:t>指为保障机构正常运转、完成日常工作任务而发生的人员支出和公用支出。</w:t>
      </w:r>
    </w:p>
    <w:p w14:paraId="46F2D341">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十、项目支出：</w:t>
      </w:r>
      <w:r>
        <w:rPr>
          <w:rFonts w:hint="eastAsia" w:ascii="仿宋_GB2312" w:eastAsia="仿宋_GB2312"/>
          <w:sz w:val="32"/>
          <w:szCs w:val="32"/>
        </w:rPr>
        <w:t>指在基本支出之外为完成特定行政任务和事业发展目标所发生的支出。</w:t>
      </w:r>
    </w:p>
    <w:p w14:paraId="4638B231">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十一、经营支出：</w:t>
      </w:r>
      <w:r>
        <w:rPr>
          <w:rFonts w:hint="eastAsia" w:ascii="仿宋_GB2312" w:eastAsia="仿宋_GB2312"/>
          <w:sz w:val="32"/>
          <w:szCs w:val="32"/>
        </w:rPr>
        <w:t>指事业单位在专业业务活动及其辅助活动之外开展非独立核算经营活动发生的支出。</w:t>
      </w:r>
    </w:p>
    <w:p w14:paraId="5CDC6BF3">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十二、对附属单位补助支出：</w:t>
      </w:r>
      <w:r>
        <w:rPr>
          <w:rFonts w:hint="eastAsia" w:ascii="仿宋_GB2312" w:eastAsia="仿宋_GB2312"/>
          <w:sz w:val="32"/>
          <w:szCs w:val="32"/>
        </w:rPr>
        <w:t>指事业单位发生的用非财政预算资金对附属单位的补助支出。</w:t>
      </w:r>
    </w:p>
    <w:p w14:paraId="1C230E82">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十三、“三公”经费：</w:t>
      </w:r>
      <w:r>
        <w:rPr>
          <w:rFonts w:hint="eastAsia" w:ascii="仿宋_GB2312" w:eastAsia="仿宋_GB2312"/>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4A6CDB5A">
      <w:pPr>
        <w:ind w:firstLine="643" w:firstLineChars="200"/>
        <w:rPr>
          <w:rFonts w:ascii="仿宋_GB2312" w:eastAsia="仿宋_GB2312"/>
          <w:sz w:val="32"/>
          <w:szCs w:val="32"/>
        </w:rPr>
      </w:pPr>
      <w:r>
        <w:rPr>
          <w:rFonts w:hint="eastAsia" w:ascii="仿宋_GB2312" w:eastAsia="仿宋_GB2312"/>
          <w:b/>
          <w:bCs/>
          <w:sz w:val="32"/>
          <w:szCs w:val="32"/>
        </w:rPr>
        <w:t>十四、机关运行经费：</w:t>
      </w:r>
      <w:r>
        <w:rPr>
          <w:rFonts w:hint="eastAsia" w:ascii="仿宋_GB2312" w:eastAsia="仿宋_GB2312"/>
          <w:sz w:val="32"/>
          <w:szCs w:val="32"/>
        </w:rPr>
        <w:t>行政单位和参照公务员法管理的事业单位财政拨款基本支出中的公用经费支出。</w:t>
      </w:r>
    </w:p>
    <w:p w14:paraId="25470CCA">
      <w:pPr>
        <w:ind w:firstLine="640" w:firstLineChars="200"/>
        <w:jc w:val="center"/>
        <w:outlineLvl w:val="0"/>
        <w:rPr>
          <w:rFonts w:ascii="黑体" w:hAnsi="黑体" w:eastAsia="黑体"/>
          <w:sz w:val="32"/>
          <w:szCs w:val="32"/>
        </w:rPr>
      </w:pPr>
      <w:r>
        <w:rPr>
          <w:rFonts w:hint="eastAsia" w:ascii="仿宋_GB2312" w:eastAsia="仿宋_GB2312"/>
          <w:sz w:val="32"/>
          <w:szCs w:val="32"/>
        </w:rPr>
        <w:br w:type="page"/>
      </w:r>
      <w:r>
        <w:rPr>
          <w:rFonts w:hint="eastAsia" w:ascii="黑体" w:hAnsi="黑体" w:eastAsia="黑体"/>
          <w:sz w:val="32"/>
          <w:szCs w:val="32"/>
        </w:rPr>
        <w:t>第四部分 部门决算报表（见附表）</w:t>
      </w:r>
    </w:p>
    <w:p w14:paraId="2C7341AC">
      <w:pPr>
        <w:ind w:firstLine="640" w:firstLineChars="200"/>
        <w:outlineLvl w:val="1"/>
        <w:rPr>
          <w:rFonts w:ascii="黑体" w:hAnsi="黑体" w:eastAsia="仿宋_GB2312" w:cs="宋体"/>
          <w:bCs/>
          <w:kern w:val="0"/>
          <w:sz w:val="32"/>
          <w:szCs w:val="32"/>
        </w:rPr>
      </w:pPr>
      <w:bookmarkStart w:id="32" w:name="_Toc2183"/>
      <w:bookmarkStart w:id="33" w:name="_Toc6062"/>
      <w:r>
        <w:rPr>
          <w:rFonts w:hint="eastAsia" w:ascii="黑体" w:hAnsi="黑体" w:eastAsia="仿宋_GB2312" w:cs="宋体"/>
          <w:bCs/>
          <w:kern w:val="0"/>
          <w:sz w:val="32"/>
          <w:szCs w:val="32"/>
        </w:rPr>
        <w:t>一、《收入支出决算总表》</w:t>
      </w:r>
      <w:bookmarkEnd w:id="32"/>
      <w:bookmarkEnd w:id="33"/>
    </w:p>
    <w:p w14:paraId="4E0210AE">
      <w:pPr>
        <w:ind w:firstLine="640" w:firstLineChars="200"/>
        <w:outlineLvl w:val="1"/>
        <w:rPr>
          <w:rFonts w:ascii="黑体" w:hAnsi="黑体" w:eastAsia="仿宋_GB2312" w:cs="宋体"/>
          <w:bCs/>
          <w:kern w:val="0"/>
          <w:sz w:val="32"/>
          <w:szCs w:val="32"/>
        </w:rPr>
      </w:pPr>
      <w:bookmarkStart w:id="34" w:name="_Toc30364"/>
      <w:bookmarkStart w:id="35" w:name="_Toc24532"/>
      <w:r>
        <w:rPr>
          <w:rFonts w:hint="eastAsia" w:ascii="黑体" w:hAnsi="黑体" w:eastAsia="仿宋_GB2312" w:cs="宋体"/>
          <w:bCs/>
          <w:kern w:val="0"/>
          <w:sz w:val="32"/>
          <w:szCs w:val="32"/>
        </w:rPr>
        <w:t>二、《收入决算表》</w:t>
      </w:r>
      <w:bookmarkEnd w:id="34"/>
      <w:bookmarkEnd w:id="35"/>
    </w:p>
    <w:p w14:paraId="37929B0D">
      <w:pPr>
        <w:ind w:firstLine="640" w:firstLineChars="200"/>
        <w:outlineLvl w:val="1"/>
        <w:rPr>
          <w:rFonts w:ascii="黑体" w:hAnsi="黑体" w:eastAsia="仿宋_GB2312" w:cs="宋体"/>
          <w:bCs/>
          <w:kern w:val="0"/>
          <w:sz w:val="32"/>
          <w:szCs w:val="32"/>
        </w:rPr>
      </w:pPr>
      <w:bookmarkStart w:id="36" w:name="_Toc21304"/>
      <w:bookmarkStart w:id="37" w:name="_Toc32434"/>
      <w:r>
        <w:rPr>
          <w:rFonts w:hint="eastAsia" w:ascii="黑体" w:hAnsi="黑体" w:eastAsia="仿宋_GB2312" w:cs="宋体"/>
          <w:bCs/>
          <w:kern w:val="0"/>
          <w:sz w:val="32"/>
          <w:szCs w:val="32"/>
        </w:rPr>
        <w:t>三、《支出决算表》</w:t>
      </w:r>
      <w:bookmarkEnd w:id="36"/>
      <w:bookmarkEnd w:id="37"/>
    </w:p>
    <w:p w14:paraId="67BD761F">
      <w:pPr>
        <w:ind w:firstLine="640" w:firstLineChars="200"/>
        <w:outlineLvl w:val="1"/>
        <w:rPr>
          <w:rFonts w:ascii="黑体" w:hAnsi="黑体" w:eastAsia="仿宋_GB2312" w:cs="宋体"/>
          <w:bCs/>
          <w:kern w:val="0"/>
          <w:sz w:val="32"/>
          <w:szCs w:val="32"/>
        </w:rPr>
      </w:pPr>
      <w:bookmarkStart w:id="38" w:name="_Toc14238"/>
      <w:bookmarkStart w:id="39" w:name="_Toc28786"/>
      <w:r>
        <w:rPr>
          <w:rFonts w:hint="eastAsia" w:ascii="黑体" w:hAnsi="黑体" w:eastAsia="仿宋_GB2312" w:cs="宋体"/>
          <w:bCs/>
          <w:kern w:val="0"/>
          <w:sz w:val="32"/>
          <w:szCs w:val="32"/>
        </w:rPr>
        <w:t>四、《财政拨款收入支出决算总表》</w:t>
      </w:r>
      <w:bookmarkEnd w:id="38"/>
      <w:bookmarkEnd w:id="39"/>
    </w:p>
    <w:p w14:paraId="4DA94FE9">
      <w:pPr>
        <w:ind w:firstLine="640" w:firstLineChars="200"/>
        <w:outlineLvl w:val="1"/>
        <w:rPr>
          <w:rFonts w:ascii="黑体" w:hAnsi="黑体" w:eastAsia="仿宋_GB2312" w:cs="宋体"/>
          <w:bCs/>
          <w:kern w:val="0"/>
          <w:sz w:val="32"/>
          <w:szCs w:val="32"/>
        </w:rPr>
      </w:pPr>
      <w:bookmarkStart w:id="40" w:name="_Toc14869"/>
      <w:bookmarkStart w:id="41" w:name="_Toc10347"/>
      <w:r>
        <w:rPr>
          <w:rFonts w:hint="eastAsia" w:ascii="黑体" w:hAnsi="黑体" w:eastAsia="仿宋_GB2312" w:cs="宋体"/>
          <w:bCs/>
          <w:kern w:val="0"/>
          <w:sz w:val="32"/>
          <w:szCs w:val="32"/>
        </w:rPr>
        <w:t>五、《一般公共预算财政拨款支出决算表》</w:t>
      </w:r>
      <w:bookmarkEnd w:id="40"/>
      <w:bookmarkEnd w:id="41"/>
    </w:p>
    <w:p w14:paraId="51A49AB6">
      <w:pPr>
        <w:ind w:firstLine="640" w:firstLineChars="200"/>
        <w:outlineLvl w:val="1"/>
        <w:rPr>
          <w:rFonts w:ascii="黑体" w:hAnsi="黑体" w:eastAsia="仿宋_GB2312" w:cs="宋体"/>
          <w:bCs/>
          <w:kern w:val="0"/>
          <w:sz w:val="32"/>
          <w:szCs w:val="32"/>
        </w:rPr>
      </w:pPr>
      <w:bookmarkStart w:id="42" w:name="_Toc8884"/>
      <w:bookmarkStart w:id="43" w:name="_Toc5626"/>
      <w:r>
        <w:rPr>
          <w:rFonts w:hint="eastAsia" w:ascii="黑体" w:hAnsi="黑体" w:eastAsia="仿宋_GB2312" w:cs="宋体"/>
          <w:bCs/>
          <w:kern w:val="0"/>
          <w:sz w:val="32"/>
          <w:szCs w:val="32"/>
        </w:rPr>
        <w:t>六、《一般公共预算财政拨款基本支出决算表》</w:t>
      </w:r>
      <w:bookmarkEnd w:id="42"/>
      <w:bookmarkEnd w:id="43"/>
    </w:p>
    <w:p w14:paraId="6BA00EC1">
      <w:pPr>
        <w:ind w:firstLine="640" w:firstLineChars="200"/>
        <w:outlineLvl w:val="1"/>
        <w:rPr>
          <w:rFonts w:ascii="黑体" w:hAnsi="黑体" w:eastAsia="仿宋_GB2312" w:cs="宋体"/>
          <w:bCs/>
          <w:kern w:val="0"/>
          <w:sz w:val="32"/>
          <w:szCs w:val="32"/>
        </w:rPr>
      </w:pPr>
      <w:r>
        <w:rPr>
          <w:rFonts w:hint="eastAsia" w:ascii="黑体" w:hAnsi="黑体" w:eastAsia="仿宋_GB2312" w:cs="宋体"/>
          <w:bCs/>
          <w:kern w:val="0"/>
          <w:sz w:val="32"/>
          <w:szCs w:val="32"/>
        </w:rPr>
        <w:t>七、</w:t>
      </w:r>
      <w:bookmarkStart w:id="44" w:name="_Toc32663"/>
      <w:bookmarkStart w:id="45" w:name="_Toc29106"/>
      <w:r>
        <w:rPr>
          <w:rFonts w:hint="eastAsia" w:ascii="黑体" w:hAnsi="黑体" w:eastAsia="仿宋_GB2312" w:cs="宋体"/>
          <w:bCs/>
          <w:kern w:val="0"/>
          <w:sz w:val="32"/>
          <w:szCs w:val="32"/>
        </w:rPr>
        <w:t>《财政拨款“三公”经费支出决算表》</w:t>
      </w:r>
      <w:bookmarkEnd w:id="44"/>
      <w:bookmarkEnd w:id="45"/>
    </w:p>
    <w:p w14:paraId="645DD2C3">
      <w:pPr>
        <w:ind w:firstLine="640" w:firstLineChars="200"/>
        <w:outlineLvl w:val="1"/>
        <w:rPr>
          <w:rFonts w:ascii="黑体" w:hAnsi="黑体" w:eastAsia="仿宋_GB2312" w:cs="宋体"/>
          <w:bCs/>
          <w:kern w:val="0"/>
          <w:sz w:val="32"/>
          <w:szCs w:val="32"/>
        </w:rPr>
      </w:pPr>
      <w:bookmarkStart w:id="46" w:name="_Toc5453"/>
      <w:bookmarkStart w:id="47" w:name="_Toc7643"/>
      <w:r>
        <w:rPr>
          <w:rFonts w:hint="eastAsia" w:ascii="黑体" w:hAnsi="黑体" w:eastAsia="仿宋_GB2312" w:cs="宋体"/>
          <w:bCs/>
          <w:kern w:val="0"/>
          <w:sz w:val="32"/>
          <w:szCs w:val="32"/>
        </w:rPr>
        <w:t>八、《政府性基金预算财政拨款收入支出决算表》</w:t>
      </w:r>
      <w:bookmarkEnd w:id="46"/>
      <w:bookmarkEnd w:id="47"/>
    </w:p>
    <w:p w14:paraId="1179DEAF">
      <w:pPr>
        <w:ind w:firstLine="640" w:firstLineChars="200"/>
        <w:outlineLvl w:val="1"/>
        <w:rPr>
          <w:rFonts w:ascii="黑体" w:hAnsi="黑体" w:eastAsia="仿宋_GB2312" w:cs="宋体"/>
          <w:bCs/>
          <w:kern w:val="0"/>
          <w:sz w:val="32"/>
          <w:szCs w:val="32"/>
        </w:rPr>
      </w:pPr>
      <w:r>
        <w:rPr>
          <w:rFonts w:hint="eastAsia" w:ascii="黑体" w:hAnsi="黑体" w:eastAsia="仿宋_GB2312" w:cs="宋体"/>
          <w:bCs/>
          <w:kern w:val="0"/>
          <w:sz w:val="32"/>
          <w:szCs w:val="32"/>
        </w:rPr>
        <w:t>九、《国有资本经营预算财政拨款收入支出决算表》</w:t>
      </w:r>
    </w:p>
    <w:p w14:paraId="13858D2D">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仿宋_GB2312" w:hAnsi="仿宋_GB2312" w:eastAsia="仿宋_GB2312" w:cs="仿宋_GB2312"/>
          <w:color w:val="auto"/>
          <w:kern w:val="0"/>
          <w:sz w:val="32"/>
          <w:szCs w:val="32"/>
          <w:highlight w:val="none"/>
          <w:lang w:val="en-US" w:eastAsia="zh-CN"/>
        </w:rPr>
      </w:pP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楷体">
    <w:panose1 w:val="02010609060101010101"/>
    <w:charset w:val="86"/>
    <w:family w:val="auto"/>
    <w:pitch w:val="default"/>
    <w:sig w:usb0="800002BF" w:usb1="38CF7CFA" w:usb2="00000016" w:usb3="00000000" w:csb0="00040001" w:csb1="00000000"/>
  </w:font>
  <w:font w:name="MS Gothic">
    <w:panose1 w:val="020B0609070205080204"/>
    <w:charset w:val="80"/>
    <w:family w:val="modern"/>
    <w:pitch w:val="default"/>
    <w:sig w:usb0="E00002FF" w:usb1="6AC7FDFB" w:usb2="00000012" w:usb3="00000000" w:csb0="4002009F" w:csb1="DFD70000"/>
  </w:font>
  <w:font w:name="Helvetica">
    <w:altName w:val="Arial"/>
    <w:panose1 w:val="020B0604020202020204"/>
    <w:charset w:val="00"/>
    <w:family w:val="swiss"/>
    <w:pitch w:val="default"/>
    <w:sig w:usb0="00000000" w:usb1="00000000" w:usb2="00000009" w:usb3="00000000" w:csb0="000001F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C846D0">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0CD48CAA">
                          <w:pPr>
                            <w:pStyle w:val="6"/>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M6pebnPAAAABQEAAA8AAAAAAAAA&#10;AQAgAAAAIgAAAGRycy9kb3ducmV2LnhtbFBLAQIUABQAAAAIAIdO4kDesQ8x4QEAAMwDAAAOAAAA&#10;AAAAAAEAIAAAAB4BAABkcnMvZTJvRG9jLnhtbFBLBQYAAAAABgAGAFkBAABxBQAAAAA=&#10;">
              <v:fill on="f" focussize="0,0"/>
              <v:stroke on="f"/>
              <v:imagedata o:title=""/>
              <o:lock v:ext="edit" aspectratio="f"/>
              <v:textbox inset="0mm,0mm,0mm,0mm" style="mso-fit-shape-to-text:t;">
                <w:txbxContent>
                  <w:p w14:paraId="0CD48CAA">
                    <w:pPr>
                      <w:pStyle w:val="6"/>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attachedTemplate r:id="rId1"/>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EzZmRjNGE1MWFhMmQ5YTI4N2U2NGVhNTI5YmQ5NzAifQ=="/>
    <w:docVar w:name="KSO_WPS_MARK_KEY" w:val="41ee2a61-2d54-4f93-83be-afdb9a40d732"/>
  </w:docVars>
  <w:rsids>
    <w:rsidRoot w:val="73F4739E"/>
    <w:rsid w:val="00213C59"/>
    <w:rsid w:val="003210CE"/>
    <w:rsid w:val="00B70D59"/>
    <w:rsid w:val="00DB4AA2"/>
    <w:rsid w:val="00F52A8D"/>
    <w:rsid w:val="019404F8"/>
    <w:rsid w:val="02BD3108"/>
    <w:rsid w:val="02E47925"/>
    <w:rsid w:val="02F73D26"/>
    <w:rsid w:val="034D4FEF"/>
    <w:rsid w:val="035D1785"/>
    <w:rsid w:val="039F47CE"/>
    <w:rsid w:val="03E05CE8"/>
    <w:rsid w:val="03F973EE"/>
    <w:rsid w:val="043E5B56"/>
    <w:rsid w:val="04C04386"/>
    <w:rsid w:val="04C56A18"/>
    <w:rsid w:val="04FA68C4"/>
    <w:rsid w:val="053F5AE6"/>
    <w:rsid w:val="057C0B0F"/>
    <w:rsid w:val="05EF4B48"/>
    <w:rsid w:val="05F76ECA"/>
    <w:rsid w:val="06792773"/>
    <w:rsid w:val="07093795"/>
    <w:rsid w:val="07804730"/>
    <w:rsid w:val="078F790E"/>
    <w:rsid w:val="079052BE"/>
    <w:rsid w:val="08145C21"/>
    <w:rsid w:val="08422688"/>
    <w:rsid w:val="085854ED"/>
    <w:rsid w:val="0879188F"/>
    <w:rsid w:val="08A0354D"/>
    <w:rsid w:val="08CD4C49"/>
    <w:rsid w:val="09114954"/>
    <w:rsid w:val="095A5B83"/>
    <w:rsid w:val="096466E3"/>
    <w:rsid w:val="0968304D"/>
    <w:rsid w:val="09AF3D17"/>
    <w:rsid w:val="0A6E51EA"/>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87558"/>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D50C50"/>
    <w:rsid w:val="16E120E1"/>
    <w:rsid w:val="1716725F"/>
    <w:rsid w:val="17385A05"/>
    <w:rsid w:val="173B3901"/>
    <w:rsid w:val="176747F9"/>
    <w:rsid w:val="17954A6E"/>
    <w:rsid w:val="180059E9"/>
    <w:rsid w:val="184510FD"/>
    <w:rsid w:val="187F6C7E"/>
    <w:rsid w:val="190648B0"/>
    <w:rsid w:val="19071D6C"/>
    <w:rsid w:val="19D26CD4"/>
    <w:rsid w:val="19E60D19"/>
    <w:rsid w:val="1A3E3450"/>
    <w:rsid w:val="1AD807E5"/>
    <w:rsid w:val="1B39345B"/>
    <w:rsid w:val="1BDE0896"/>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35EE8"/>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7E5765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2E2855"/>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4739E"/>
    <w:rsid w:val="73F908B5"/>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spacing w:line="560" w:lineRule="exact"/>
      <w:ind w:firstLine="200" w:firstLineChars="200"/>
      <w:jc w:val="left"/>
      <w:outlineLvl w:val="1"/>
    </w:pPr>
    <w:rPr>
      <w:rFonts w:ascii="楷体" w:hAnsi="楷体" w:eastAsia="楷体" w:cs="Times New Roman"/>
      <w:bCs/>
      <w:szCs w:val="32"/>
    </w:rPr>
  </w:style>
  <w:style w:type="paragraph" w:styleId="3">
    <w:name w:val="heading 3"/>
    <w:basedOn w:val="1"/>
    <w:next w:val="1"/>
    <w:unhideWhenUsed/>
    <w:qFormat/>
    <w:uiPriority w:val="9"/>
    <w:pPr>
      <w:keepNext/>
      <w:keepLines/>
      <w:spacing w:before="200"/>
      <w:outlineLvl w:val="2"/>
    </w:pPr>
    <w:rPr>
      <w:rFonts w:ascii="Calibri" w:hAnsi="Calibri" w:eastAsia="MS Gothic" w:cs="Times New Roman"/>
      <w:b/>
      <w:bCs/>
      <w:color w:val="4F81BD"/>
    </w:rPr>
  </w:style>
  <w:style w:type="character" w:default="1" w:styleId="12">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4">
    <w:name w:val="annotation text"/>
    <w:basedOn w:val="1"/>
    <w:qFormat/>
    <w:uiPriority w:val="0"/>
    <w:pPr>
      <w:jc w:val="left"/>
    </w:pPr>
  </w:style>
  <w:style w:type="paragraph" w:styleId="5">
    <w:name w:val="toc 3"/>
    <w:basedOn w:val="1"/>
    <w:next w:val="1"/>
    <w:qFormat/>
    <w:uiPriority w:val="0"/>
    <w:pPr>
      <w:ind w:left="840" w:leftChars="400"/>
    </w:p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toc 1"/>
    <w:basedOn w:val="1"/>
    <w:next w:val="1"/>
    <w:qFormat/>
    <w:uiPriority w:val="0"/>
  </w:style>
  <w:style w:type="paragraph" w:styleId="9">
    <w:name w:val="toc 2"/>
    <w:basedOn w:val="1"/>
    <w:next w:val="1"/>
    <w:qFormat/>
    <w:uiPriority w:val="0"/>
    <w:pPr>
      <w:ind w:left="420" w:leftChars="200"/>
    </w:pPr>
  </w:style>
  <w:style w:type="paragraph" w:styleId="10">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3">
    <w:name w:val="Strong"/>
    <w:basedOn w:val="12"/>
    <w:qFormat/>
    <w:uiPriority w:val="0"/>
    <w:rPr>
      <w:b/>
    </w:rPr>
  </w:style>
  <w:style w:type="paragraph" w:customStyle="1" w:styleId="14">
    <w:name w:val="WPSOffice手动目录 2"/>
    <w:qFormat/>
    <w:uiPriority w:val="0"/>
    <w:pPr>
      <w:ind w:leftChars="200"/>
    </w:pPr>
    <w:rPr>
      <w:rFonts w:ascii="Times New Roman" w:hAnsi="Times New Roman" w:eastAsia="宋体" w:cs="Times New Roman"/>
      <w:sz w:val="20"/>
      <w:szCs w:val="20"/>
    </w:rPr>
  </w:style>
  <w:style w:type="paragraph" w:customStyle="1" w:styleId="15">
    <w:name w:val="WPSOffice手动目录 3"/>
    <w:qFormat/>
    <w:uiPriority w:val="0"/>
    <w:pPr>
      <w:ind w:leftChars="400"/>
    </w:pPr>
    <w:rPr>
      <w:rFonts w:ascii="Times New Roman" w:hAnsi="Times New Roman" w:eastAsia="宋体" w:cs="Times New Roman"/>
      <w:sz w:val="20"/>
      <w:szCs w:val="20"/>
    </w:rPr>
  </w:style>
  <w:style w:type="paragraph" w:customStyle="1" w:styleId="16">
    <w:name w:val="WPSOffice手动目录 1"/>
    <w:qFormat/>
    <w:uiPriority w:val="0"/>
    <w:pPr>
      <w:ind w:leftChars="0"/>
    </w:pPr>
    <w:rPr>
      <w:rFonts w:ascii="Times New Roman" w:hAnsi="Times New Roman" w:eastAsia="宋体" w:cs="Times New Roman"/>
      <w:sz w:val="20"/>
      <w:szCs w:val="20"/>
    </w:rPr>
  </w:style>
  <w:style w:type="paragraph" w:customStyle="1" w:styleId="17">
    <w:name w:val="f1"/>
    <w:basedOn w:val="1"/>
    <w:qFormat/>
    <w:uiPriority w:val="0"/>
    <w:pPr>
      <w:widowControl/>
      <w:spacing w:before="100" w:beforeAutospacing="1" w:after="100" w:afterAutospacing="1"/>
      <w:jc w:val="center"/>
    </w:pPr>
    <w:rPr>
      <w:rFonts w:ascii="Helvetica" w:hAnsi="Helvetica" w:cs="Helvetica"/>
      <w:b/>
      <w:bCs/>
      <w:color w:val="FF8080"/>
      <w:spacing w:val="160"/>
      <w:kern w:val="0"/>
      <w:sz w:val="80"/>
      <w:szCs w:val="8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esktop\2023&#24180;&#20915;&#31639;&#20844;&#24320;\2023&#24180;&#20915;&#31639;&#20844;&#24320;\2023&#24180;-&#20044;&#40065;&#26408;&#40784;&#24066;&#22269;&#22303;&#36164;&#28304;&#25191;&#27861;&#30417;&#23519;&#25903;&#38431;-&#26032;&#30086;&#20844;&#24320;&#25253;&#21578;0809&#65288;1234&#65289;-2024-08-12-16-53.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2023年-乌鲁木齐市国土资源执法监察支队-新疆公开报告0809（1234）-2024-08-12-16-53.dot</Template>
  <Pages>16</Pages>
  <Words>5438</Words>
  <Characters>6075</Characters>
  <Lines>0</Lines>
  <Paragraphs>0</Paragraphs>
  <TotalTime>0</TotalTime>
  <ScaleCrop>false</ScaleCrop>
  <LinksUpToDate>false</LinksUpToDate>
  <CharactersWithSpaces>6086</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2024-08-12T09:23:00Z</dcterms:created>
  <dc:creator>Administrator</dc:creator>
  <cp:lastModifiedBy>琪琪妈妈</cp:lastModifiedBy>
  <dcterms:modified xsi:type="dcterms:W3CDTF">2024-09-02T03:56:46Z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A1067E0EC3CA436E828F1EE711A737EA_11</vt:lpwstr>
  </property>
</Properties>
</file>