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乌鲁木齐市米东区国土资源执法监察大队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72" w:firstLineChars="200"/>
        <w:rPr>
          <w:rFonts w:hint="eastAsia" w:ascii="仿宋" w:hAnsi="仿宋" w:eastAsia="仿宋" w:cs="仿宋"/>
          <w:color w:val="auto"/>
          <w:sz w:val="31"/>
          <w:szCs w:val="31"/>
          <w:lang w:val="en-US" w:eastAsia="zh-CN"/>
        </w:rPr>
      </w:pPr>
      <w:bookmarkStart w:id="4" w:name="_Toc31238"/>
      <w:bookmarkStart w:id="5" w:name="_Toc2151"/>
      <w:r>
        <w:rPr>
          <w:rFonts w:hint="eastAsia" w:ascii="仿宋" w:hAnsi="仿宋" w:eastAsia="仿宋" w:cs="仿宋"/>
          <w:color w:val="auto"/>
          <w:spacing w:val="13"/>
          <w:position w:val="23"/>
          <w:sz w:val="31"/>
          <w:szCs w:val="31"/>
          <w:lang w:val="en-US" w:eastAsia="zh-CN"/>
        </w:rPr>
        <w:t>乌鲁木齐市米东区国土资源执法监察大队，为自治区自然资源厅下属四级预算单位。</w:t>
      </w:r>
    </w:p>
    <w:p>
      <w:pPr>
        <w:ind w:firstLine="672" w:firstLineChars="200"/>
        <w:rPr>
          <w:rFonts w:hint="eastAsia" w:ascii="仿宋" w:hAnsi="仿宋" w:eastAsia="仿宋" w:cs="仿宋"/>
          <w:color w:val="auto"/>
          <w:spacing w:val="13"/>
          <w:position w:val="23"/>
          <w:sz w:val="31"/>
          <w:szCs w:val="31"/>
          <w:lang w:val="en-US" w:eastAsia="zh-CN"/>
        </w:rPr>
      </w:pPr>
      <w:r>
        <w:rPr>
          <w:rFonts w:hint="eastAsia" w:ascii="仿宋" w:hAnsi="仿宋" w:eastAsia="仿宋" w:cs="仿宋"/>
          <w:color w:val="auto"/>
          <w:spacing w:val="13"/>
          <w:position w:val="23"/>
          <w:sz w:val="31"/>
          <w:szCs w:val="31"/>
          <w:lang w:val="en-US" w:eastAsia="zh-CN"/>
        </w:rPr>
        <w:t>1、宣传和贯彻执行国家、自治区有关土地、矿产资源的法律、法规、规章和政策。</w:t>
      </w:r>
    </w:p>
    <w:p>
      <w:pPr>
        <w:ind w:firstLine="672" w:firstLineChars="200"/>
        <w:rPr>
          <w:rFonts w:hint="eastAsia" w:ascii="仿宋" w:hAnsi="仿宋" w:eastAsia="仿宋" w:cs="仿宋"/>
          <w:color w:val="auto"/>
          <w:spacing w:val="13"/>
          <w:position w:val="23"/>
          <w:sz w:val="31"/>
          <w:szCs w:val="31"/>
          <w:lang w:val="en-US" w:eastAsia="zh-CN"/>
        </w:rPr>
      </w:pPr>
      <w:r>
        <w:rPr>
          <w:rFonts w:hint="eastAsia" w:ascii="仿宋" w:hAnsi="仿宋" w:eastAsia="仿宋" w:cs="仿宋"/>
          <w:color w:val="auto"/>
          <w:spacing w:val="13"/>
          <w:position w:val="23"/>
          <w:sz w:val="31"/>
          <w:szCs w:val="31"/>
          <w:lang w:val="en-US" w:eastAsia="zh-CN"/>
        </w:rPr>
        <w:t>2、组织和实施对米东区执行土地、矿产资源法律、法规、规章情况的巡查，及时发现和制止土地、矿产资源违法行为。</w:t>
      </w:r>
    </w:p>
    <w:p>
      <w:pPr>
        <w:ind w:firstLine="672" w:firstLineChars="200"/>
        <w:rPr>
          <w:rFonts w:hint="eastAsia" w:ascii="仿宋" w:hAnsi="仿宋" w:eastAsia="仿宋" w:cs="仿宋"/>
          <w:color w:val="auto"/>
          <w:spacing w:val="13"/>
          <w:position w:val="23"/>
          <w:sz w:val="31"/>
          <w:szCs w:val="31"/>
          <w:lang w:val="en-US" w:eastAsia="zh-CN"/>
        </w:rPr>
      </w:pPr>
      <w:r>
        <w:rPr>
          <w:rFonts w:hint="eastAsia" w:ascii="仿宋" w:hAnsi="仿宋" w:eastAsia="仿宋" w:cs="仿宋"/>
          <w:color w:val="auto"/>
          <w:spacing w:val="13"/>
          <w:position w:val="23"/>
          <w:sz w:val="31"/>
          <w:szCs w:val="31"/>
          <w:lang w:val="en-US" w:eastAsia="zh-CN"/>
        </w:rPr>
        <w:t>3、依法组织和实施米东区土地、矿产资源违法案件的调查、取证、现场勘验工作，并提交土地、矿产资源违法案件报告和查处意见。发现重大土地、矿产资源违法案件线索，及时上报。</w:t>
      </w:r>
    </w:p>
    <w:p>
      <w:pPr>
        <w:ind w:firstLine="672" w:firstLineChars="200"/>
        <w:rPr>
          <w:rFonts w:hint="eastAsia" w:ascii="仿宋" w:hAnsi="仿宋" w:eastAsia="仿宋" w:cs="仿宋"/>
          <w:color w:val="auto"/>
          <w:spacing w:val="13"/>
          <w:position w:val="23"/>
          <w:sz w:val="31"/>
          <w:szCs w:val="31"/>
          <w:lang w:val="en-US" w:eastAsia="zh-CN"/>
        </w:rPr>
      </w:pPr>
      <w:r>
        <w:rPr>
          <w:rFonts w:hint="eastAsia" w:ascii="仿宋" w:hAnsi="仿宋" w:eastAsia="仿宋" w:cs="仿宋"/>
          <w:color w:val="auto"/>
          <w:spacing w:val="13"/>
          <w:position w:val="23"/>
          <w:sz w:val="31"/>
          <w:szCs w:val="31"/>
          <w:lang w:val="en-US" w:eastAsia="zh-CN"/>
        </w:rPr>
        <w:t>4、负责米东区重大土地、矿产资源违法案件查处决定的督办。</w:t>
      </w:r>
    </w:p>
    <w:p>
      <w:pPr>
        <w:keepNext w:val="0"/>
        <w:keepLines w:val="0"/>
        <w:pageBreakBefore w:val="0"/>
        <w:wordWrap/>
        <w:overflowPunct/>
        <w:topLinePunct w:val="0"/>
        <w:autoSpaceDE w:val="0"/>
        <w:autoSpaceDN w:val="0"/>
        <w:bidi w:val="0"/>
        <w:spacing w:before="248" w:line="372" w:lineRule="auto"/>
        <w:ind w:left="44" w:right="17" w:firstLine="631"/>
        <w:rPr>
          <w:rFonts w:hint="eastAsia" w:ascii="仿宋" w:hAnsi="仿宋" w:eastAsia="仿宋" w:cs="仿宋"/>
          <w:color w:val="000000"/>
          <w:spacing w:val="5"/>
          <w:sz w:val="31"/>
          <w:szCs w:val="31"/>
          <w:lang w:val="en-US" w:eastAsia="zh-CN"/>
        </w:rPr>
      </w:pPr>
      <w:r>
        <w:rPr>
          <w:rFonts w:hint="eastAsia" w:ascii="仿宋" w:hAnsi="仿宋" w:eastAsia="仿宋" w:cs="仿宋"/>
          <w:color w:val="000000"/>
          <w:spacing w:val="5"/>
          <w:sz w:val="31"/>
          <w:szCs w:val="31"/>
          <w:lang w:val="en-US" w:eastAsia="zh-CN"/>
        </w:rPr>
        <w:t>5、完成国土资源执法监察部门和当地政府交办的其他工作。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乌鲁木齐市米东区国土资源执法监察大队2023年度，实有人数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pPr>
        <w:spacing w:before="249" w:line="372" w:lineRule="auto"/>
        <w:ind w:left="44" w:right="17" w:firstLine="631"/>
        <w:rPr>
          <w:rFonts w:hint="eastAsia" w:ascii="仿宋" w:hAnsi="仿宋" w:eastAsia="仿宋"/>
          <w:color w:val="auto"/>
          <w:sz w:val="32"/>
          <w:szCs w:val="32"/>
          <w:lang w:val="en-US" w:eastAsia="zh-CN"/>
        </w:rPr>
      </w:pPr>
      <w:r>
        <w:rPr>
          <w:rFonts w:hint="eastAsia" w:ascii="仿宋" w:hAnsi="仿宋" w:eastAsia="仿宋" w:cs="仿宋"/>
          <w:color w:val="auto"/>
          <w:spacing w:val="5"/>
          <w:sz w:val="31"/>
          <w:szCs w:val="31"/>
        </w:rPr>
        <w:t>单位无下属预算单位，</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4</w:t>
      </w:r>
      <w:bookmarkStart w:id="46" w:name="_GoBack"/>
      <w:bookmarkEnd w:id="46"/>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highlight w:val="none"/>
          <w:lang w:eastAsia="zh-CN"/>
        </w:rPr>
        <w:t>：</w:t>
      </w:r>
      <w:r>
        <w:rPr>
          <w:rFonts w:hint="eastAsia" w:ascii="仿宋_GB2312" w:hAnsi="宋体" w:eastAsia="仿宋_GB2312" w:cs="Times New Roman"/>
          <w:color w:val="auto"/>
          <w:kern w:val="2"/>
          <w:sz w:val="32"/>
          <w:szCs w:val="32"/>
          <w:lang w:val="en-US" w:eastAsia="zh-CN" w:bidi="ar-SA"/>
        </w:rPr>
        <w:t>综合行政办公室、财务室、档案室、片区工作</w:t>
      </w:r>
      <w:r>
        <w:rPr>
          <w:rFonts w:hint="eastAsia" w:ascii="仿宋" w:hAnsi="仿宋" w:eastAsia="仿宋" w:cs="宋体"/>
          <w:color w:val="auto"/>
          <w:kern w:val="0"/>
          <w:sz w:val="32"/>
          <w:szCs w:val="32"/>
          <w:lang w:val="en-US" w:eastAsia="zh-CN"/>
        </w:rPr>
        <w:t>组</w:t>
      </w:r>
      <w:r>
        <w:rPr>
          <w:rFonts w:hint="eastAsia" w:ascii="仿宋" w:hAnsi="仿宋" w:eastAsia="仿宋"/>
          <w:color w:val="auto"/>
          <w:sz w:val="32"/>
          <w:szCs w:val="32"/>
          <w:lang w:val="en-US" w:eastAsia="zh-CN"/>
        </w:rPr>
        <w:t>。</w:t>
      </w: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spacing w:before="249" w:line="372" w:lineRule="auto"/>
        <w:ind w:left="44" w:right="17" w:firstLine="631"/>
        <w:rPr>
          <w:rFonts w:hint="eastAsia" w:ascii="仿宋" w:hAnsi="仿宋" w:eastAsia="仿宋"/>
          <w:color w:val="auto"/>
          <w:sz w:val="32"/>
          <w:szCs w:val="32"/>
          <w:lang w:val="en-US" w:eastAsia="zh-CN"/>
        </w:r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2023年度收入总计306.89万元，其中：本年收入合计262.75万元，使用非财政拨款结余0.00万元，年初结转和结余44.13万元。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2023年度支出总计306.89万元，其中：本年支出合计282.55万元，结余分配0.00万元，年末结转和结余24.34万元。</w:t>
      </w:r>
    </w:p>
    <w:p>
      <w:pPr>
        <w:keepNext w:val="0"/>
        <w:keepLines w:val="0"/>
        <w:pageBreakBefore w:val="0"/>
        <w:widowControl/>
        <w:kinsoku w:val="0"/>
        <w:wordWrap/>
        <w:overflowPunct/>
        <w:topLinePunct w:val="0"/>
        <w:autoSpaceDE w:val="0"/>
        <w:autoSpaceDN w:val="0"/>
        <w:bidi w:val="0"/>
        <w:adjustRightInd w:val="0"/>
        <w:snapToGrid w:val="0"/>
        <w:spacing w:before="248" w:line="372" w:lineRule="auto"/>
        <w:ind w:left="28" w:right="0" w:firstLine="641"/>
        <w:textAlignment w:val="baseline"/>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增加5.26万元</w:t>
      </w:r>
      <w:r>
        <w:rPr>
          <w:rFonts w:hint="eastAsia" w:ascii="仿宋_GB2312" w:eastAsia="仿宋_GB2312"/>
          <w:sz w:val="32"/>
          <w:szCs w:val="32"/>
        </w:rPr>
        <w:t>，</w:t>
      </w:r>
      <w:r>
        <w:rPr>
          <w:rFonts w:hint="eastAsia" w:ascii="仿宋_GB2312" w:eastAsia="仿宋_GB2312"/>
          <w:sz w:val="32"/>
          <w:szCs w:val="32"/>
          <w:lang w:val="zh-CN"/>
        </w:rPr>
        <w:t>增长1.74%</w:t>
      </w:r>
      <w:r>
        <w:rPr>
          <w:rFonts w:hint="eastAsia" w:ascii="仿宋_GB2312" w:eastAsia="仿宋_GB2312"/>
          <w:sz w:val="32"/>
          <w:szCs w:val="32"/>
        </w:rPr>
        <w:t>，主要原因是：</w:t>
      </w:r>
      <w:r>
        <w:rPr>
          <w:rFonts w:hint="eastAsia" w:ascii="仿宋_GB2312" w:eastAsia="仿宋_GB2312"/>
          <w:sz w:val="32"/>
          <w:szCs w:val="32"/>
          <w:lang w:eastAsia="zh-CN"/>
        </w:rPr>
        <w:t>增加</w:t>
      </w:r>
      <w:r>
        <w:rPr>
          <w:rFonts w:ascii="仿宋" w:hAnsi="仿宋" w:eastAsia="仿宋" w:cs="仿宋"/>
          <w:color w:val="000000"/>
          <w:spacing w:val="2"/>
          <w:sz w:val="31"/>
          <w:szCs w:val="31"/>
        </w:rPr>
        <w:t>上年度绩效考核奖金、调资增资追加预算经费款项</w:t>
      </w:r>
      <w:r>
        <w:rPr>
          <w:rFonts w:ascii="仿宋" w:hAnsi="仿宋" w:eastAsia="仿宋" w:cs="仿宋"/>
          <w:color w:val="000000"/>
          <w:spacing w:val="7"/>
          <w:sz w:val="31"/>
          <w:szCs w:val="31"/>
        </w:rPr>
        <w:t>。</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本年收入262.75万元，其中：财政拨款收入</w:t>
      </w:r>
      <w:r>
        <w:rPr>
          <w:rFonts w:hint="eastAsia" w:ascii="仿宋_GB2312" w:eastAsia="仿宋_GB2312"/>
          <w:sz w:val="32"/>
          <w:szCs w:val="32"/>
          <w:lang w:val="zh-CN"/>
        </w:rPr>
        <w:t>262.66</w:t>
      </w:r>
      <w:r>
        <w:rPr>
          <w:rFonts w:hint="eastAsia" w:ascii="仿宋_GB2312" w:eastAsia="仿宋_GB2312"/>
          <w:sz w:val="32"/>
          <w:szCs w:val="32"/>
        </w:rPr>
        <w:t>万元，占</w:t>
      </w:r>
      <w:r>
        <w:rPr>
          <w:rFonts w:hint="eastAsia" w:ascii="仿宋_GB2312" w:eastAsia="仿宋_GB2312"/>
          <w:sz w:val="32"/>
          <w:szCs w:val="32"/>
          <w:lang w:val="zh-CN"/>
        </w:rPr>
        <w:t>99.96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0.10</w:t>
      </w:r>
      <w:r>
        <w:rPr>
          <w:rFonts w:hint="eastAsia" w:ascii="仿宋_GB2312" w:eastAsia="仿宋_GB2312"/>
          <w:sz w:val="32"/>
          <w:szCs w:val="32"/>
        </w:rPr>
        <w:t>万元，占</w:t>
      </w:r>
      <w:r>
        <w:rPr>
          <w:rFonts w:hint="eastAsia" w:ascii="仿宋_GB2312" w:eastAsia="仿宋_GB2312"/>
          <w:sz w:val="32"/>
          <w:szCs w:val="32"/>
          <w:lang w:val="zh-CN"/>
        </w:rPr>
        <w:t>0.04</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本年支出282.55万元，其中：基本支出118.79万元，占42.04%；项目支出163.76万元，占57.96%；上缴上级支出0.00万元，占0.00%；经营支出0.00万元，占0.00%；对附属单位补助支出0.00万元，占0.00%。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hint="eastAsia"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266.41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3.76</w:t>
      </w:r>
      <w:r>
        <w:rPr>
          <w:rFonts w:hint="eastAsia" w:ascii="仿宋_GB2312" w:eastAsia="仿宋_GB2312"/>
          <w:sz w:val="32"/>
          <w:szCs w:val="32"/>
        </w:rPr>
        <w:t>万元，本年财政拨款收入</w:t>
      </w:r>
      <w:r>
        <w:rPr>
          <w:rFonts w:hint="eastAsia" w:ascii="仿宋_GB2312" w:eastAsia="仿宋_GB2312"/>
          <w:sz w:val="32"/>
          <w:szCs w:val="32"/>
          <w:lang w:val="zh-CN"/>
        </w:rPr>
        <w:t>262.66</w:t>
      </w:r>
      <w:r>
        <w:rPr>
          <w:rFonts w:hint="eastAsia" w:ascii="仿宋_GB2312" w:eastAsia="仿宋_GB2312"/>
          <w:sz w:val="32"/>
          <w:szCs w:val="32"/>
        </w:rPr>
        <w:t>万元。财政拨款支出总计</w:t>
      </w:r>
      <w:r>
        <w:rPr>
          <w:rFonts w:hint="eastAsia" w:ascii="仿宋_GB2312" w:eastAsia="仿宋_GB2312"/>
          <w:sz w:val="32"/>
          <w:szCs w:val="32"/>
          <w:lang w:val="zh-CN"/>
        </w:rPr>
        <w:t>266.41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266.41</w:t>
      </w:r>
      <w:r>
        <w:rPr>
          <w:rFonts w:hint="eastAsia" w:ascii="仿宋_GB2312" w:eastAsia="仿宋_GB2312"/>
          <w:sz w:val="32"/>
          <w:szCs w:val="32"/>
        </w:rPr>
        <w:t>万元。</w:t>
      </w:r>
    </w:p>
    <w:p>
      <w:pPr>
        <w:keepNext w:val="0"/>
        <w:keepLines w:val="0"/>
        <w:pageBreakBefore w:val="0"/>
        <w:wordWrap/>
        <w:overflowPunct/>
        <w:topLinePunct w:val="0"/>
        <w:autoSpaceDE w:val="0"/>
        <w:autoSpaceDN w:val="0"/>
        <w:bidi w:val="0"/>
        <w:spacing w:line="240" w:lineRule="auto"/>
        <w:ind w:left="0" w:leftChars="0" w:right="0"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增加5.16万元</w:t>
      </w:r>
      <w:r>
        <w:rPr>
          <w:rFonts w:hint="eastAsia" w:ascii="仿宋_GB2312" w:eastAsia="仿宋_GB2312"/>
          <w:sz w:val="32"/>
          <w:szCs w:val="32"/>
        </w:rPr>
        <w:t>，</w:t>
      </w:r>
      <w:r>
        <w:rPr>
          <w:rFonts w:hint="eastAsia" w:ascii="仿宋_GB2312" w:eastAsia="仿宋_GB2312"/>
          <w:sz w:val="32"/>
          <w:szCs w:val="32"/>
          <w:lang w:val="zh-CN"/>
        </w:rPr>
        <w:t>增长1.98%，</w:t>
      </w:r>
      <w:r>
        <w:rPr>
          <w:rFonts w:hint="eastAsia" w:ascii="仿宋_GB2312" w:eastAsia="仿宋_GB2312"/>
          <w:sz w:val="32"/>
          <w:szCs w:val="32"/>
        </w:rPr>
        <w:t>主要原因是：</w:t>
      </w:r>
      <w:r>
        <w:rPr>
          <w:rFonts w:hint="eastAsia" w:ascii="仿宋_GB2312" w:eastAsia="仿宋_GB2312"/>
          <w:sz w:val="32"/>
          <w:szCs w:val="32"/>
          <w:lang w:eastAsia="zh-CN"/>
        </w:rPr>
        <w:t>在职人员</w:t>
      </w:r>
      <w:r>
        <w:rPr>
          <w:rFonts w:hint="eastAsia" w:ascii="仿宋_GB2312" w:eastAsia="仿宋_GB2312"/>
          <w:sz w:val="32"/>
          <w:szCs w:val="32"/>
        </w:rPr>
        <w:t>职务职级变动</w:t>
      </w:r>
      <w:r>
        <w:rPr>
          <w:rFonts w:hint="eastAsia" w:ascii="仿宋_GB2312" w:eastAsia="仿宋_GB2312"/>
          <w:sz w:val="32"/>
          <w:szCs w:val="32"/>
          <w:lang w:eastAsia="zh-CN"/>
        </w:rPr>
        <w:t>，人员工资调资增资。</w:t>
      </w:r>
      <w:r>
        <w:rPr>
          <w:rFonts w:hint="eastAsia" w:ascii="仿宋_GB2312" w:eastAsia="仿宋_GB2312"/>
          <w:sz w:val="32"/>
          <w:szCs w:val="32"/>
        </w:rPr>
        <w:t>与年初预算相比，年初预算数</w:t>
      </w:r>
      <w:r>
        <w:rPr>
          <w:rFonts w:hint="eastAsia" w:ascii="仿宋_GB2312" w:eastAsia="仿宋_GB2312"/>
          <w:sz w:val="32"/>
          <w:szCs w:val="32"/>
          <w:lang w:val="zh-CN"/>
        </w:rPr>
        <w:t>255.20</w:t>
      </w:r>
      <w:r>
        <w:rPr>
          <w:rFonts w:hint="eastAsia" w:ascii="仿宋_GB2312" w:eastAsia="仿宋_GB2312"/>
          <w:sz w:val="32"/>
          <w:szCs w:val="32"/>
        </w:rPr>
        <w:t>万元，决算数</w:t>
      </w:r>
      <w:r>
        <w:rPr>
          <w:rFonts w:hint="eastAsia" w:ascii="仿宋_GB2312" w:eastAsia="仿宋_GB2312"/>
          <w:sz w:val="32"/>
          <w:szCs w:val="32"/>
          <w:lang w:val="zh-CN"/>
        </w:rPr>
        <w:t>266.41</w:t>
      </w:r>
      <w:r>
        <w:rPr>
          <w:rFonts w:hint="eastAsia" w:ascii="仿宋_GB2312" w:eastAsia="仿宋_GB2312"/>
          <w:sz w:val="32"/>
          <w:szCs w:val="32"/>
        </w:rPr>
        <w:t>万元，预决算差异率4.39%，主要原因是：</w:t>
      </w:r>
      <w:r>
        <w:rPr>
          <w:rFonts w:hint="eastAsia" w:eastAsia="仿宋" w:cs="Arial"/>
          <w:color w:val="000000"/>
          <w:spacing w:val="-15"/>
          <w:sz w:val="31"/>
          <w:szCs w:val="31"/>
          <w:lang w:eastAsia="zh-CN"/>
        </w:rPr>
        <w:t>增加</w:t>
      </w:r>
      <w:r>
        <w:rPr>
          <w:rFonts w:ascii="仿宋" w:hAnsi="仿宋" w:eastAsia="仿宋" w:cs="仿宋"/>
          <w:color w:val="000000"/>
          <w:spacing w:val="8"/>
          <w:sz w:val="31"/>
          <w:szCs w:val="31"/>
        </w:rPr>
        <w:t>上年度绩效考核奖金、调资增</w:t>
      </w:r>
      <w:r>
        <w:rPr>
          <w:rFonts w:ascii="仿宋" w:hAnsi="仿宋" w:eastAsia="仿宋" w:cs="仿宋"/>
          <w:color w:val="000000"/>
          <w:spacing w:val="5"/>
          <w:sz w:val="31"/>
          <w:szCs w:val="31"/>
        </w:rPr>
        <w:t>资追加经费</w:t>
      </w:r>
      <w:r>
        <w:rPr>
          <w:rFonts w:hint="eastAsia" w:ascii="仿宋" w:hAnsi="仿宋" w:eastAsia="仿宋" w:cs="仿宋"/>
          <w:color w:val="000000"/>
          <w:spacing w:val="-7"/>
          <w:sz w:val="31"/>
          <w:szCs w:val="31"/>
          <w:lang w:val="en-US" w:eastAsia="zh-CN"/>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w:t>
      </w:r>
      <w:r>
        <w:rPr>
          <w:rFonts w:hint="eastAsia" w:ascii="仿宋_GB2312" w:eastAsia="仿宋_GB2312"/>
          <w:sz w:val="32"/>
          <w:szCs w:val="32"/>
          <w:lang w:val="zh-CN"/>
        </w:rPr>
        <w:t>般公共预算财政拨款支出266.41万元，占本年支出合计的94.29%。与上年相比，增加8.92万元，增长3.46%，主要原因是：</w:t>
      </w:r>
      <w:r>
        <w:rPr>
          <w:rFonts w:hint="eastAsia" w:ascii="仿宋_GB2312" w:eastAsia="仿宋_GB2312"/>
          <w:sz w:val="32"/>
          <w:szCs w:val="32"/>
          <w:lang w:val="zh-CN" w:eastAsia="zh-CN"/>
        </w:rPr>
        <w:t>人员工资调资，经费增加</w:t>
      </w:r>
      <w:r>
        <w:rPr>
          <w:rFonts w:hint="eastAsia" w:ascii="仿宋_GB2312" w:eastAsia="仿宋_GB2312"/>
          <w:sz w:val="32"/>
          <w:szCs w:val="32"/>
          <w:lang w:val="zh-CN"/>
        </w:rPr>
        <w:t>。与年初预算相比，年初预算数255.20万元，决算数266.41万元，预决算差异率4.39%，主要原因是：增加</w:t>
      </w:r>
      <w:r>
        <w:rPr>
          <w:rFonts w:hint="eastAsia" w:ascii="仿宋_GB2312" w:eastAsia="仿宋_GB2312"/>
          <w:sz w:val="32"/>
          <w:szCs w:val="32"/>
        </w:rPr>
        <w:t>上年度绩效考核奖金、调资增资追加</w:t>
      </w:r>
      <w:r>
        <w:rPr>
          <w:rFonts w:ascii="仿宋" w:hAnsi="仿宋" w:eastAsia="仿宋" w:cs="仿宋"/>
          <w:color w:val="000000"/>
          <w:spacing w:val="5"/>
          <w:sz w:val="31"/>
          <w:szCs w:val="31"/>
        </w:rPr>
        <w:t>经费</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12.75</w:t>
      </w:r>
      <w:r>
        <w:rPr>
          <w:rFonts w:ascii="仿宋_GB2312" w:eastAsia="仿宋_GB2312"/>
          <w:kern w:val="2"/>
          <w:sz w:val="32"/>
          <w:szCs w:val="32"/>
          <w:lang w:val="zh-CN"/>
        </w:rPr>
        <w:t>万元，占</w:t>
      </w:r>
      <w:r>
        <w:rPr>
          <w:rFonts w:hint="eastAsia" w:ascii="仿宋_GB2312" w:eastAsia="仿宋_GB2312"/>
          <w:kern w:val="2"/>
          <w:sz w:val="32"/>
          <w:szCs w:val="32"/>
          <w:lang w:val="zh-CN"/>
        </w:rPr>
        <w:t>4.79</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8.36</w:t>
      </w:r>
      <w:r>
        <w:rPr>
          <w:rFonts w:ascii="仿宋_GB2312" w:eastAsia="仿宋_GB2312"/>
          <w:kern w:val="2"/>
          <w:sz w:val="32"/>
          <w:szCs w:val="32"/>
          <w:lang w:val="zh-CN"/>
        </w:rPr>
        <w:t>万元，占</w:t>
      </w:r>
      <w:r>
        <w:rPr>
          <w:rFonts w:hint="eastAsia" w:ascii="仿宋_GB2312" w:eastAsia="仿宋_GB2312"/>
          <w:kern w:val="2"/>
          <w:sz w:val="32"/>
          <w:szCs w:val="32"/>
          <w:lang w:val="zh-CN"/>
        </w:rPr>
        <w:t>3.14</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238.63</w:t>
      </w:r>
      <w:r>
        <w:rPr>
          <w:rFonts w:ascii="仿宋_GB2312" w:eastAsia="仿宋_GB2312"/>
          <w:kern w:val="2"/>
          <w:sz w:val="32"/>
          <w:szCs w:val="32"/>
          <w:lang w:val="zh-CN"/>
        </w:rPr>
        <w:t>万元，占</w:t>
      </w:r>
      <w:r>
        <w:rPr>
          <w:rFonts w:hint="eastAsia" w:ascii="仿宋_GB2312" w:eastAsia="仿宋_GB2312"/>
          <w:kern w:val="2"/>
          <w:sz w:val="32"/>
          <w:szCs w:val="32"/>
          <w:lang w:val="zh-CN"/>
        </w:rPr>
        <w:t>89.57</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6.67</w:t>
      </w:r>
      <w:r>
        <w:rPr>
          <w:rFonts w:ascii="仿宋_GB2312" w:eastAsia="仿宋_GB2312"/>
          <w:kern w:val="2"/>
          <w:sz w:val="32"/>
          <w:szCs w:val="32"/>
          <w:lang w:val="zh-CN"/>
        </w:rPr>
        <w:t>万元，占</w:t>
      </w:r>
      <w:r>
        <w:rPr>
          <w:rFonts w:hint="eastAsia" w:ascii="仿宋_GB2312" w:eastAsia="仿宋_GB2312"/>
          <w:kern w:val="2"/>
          <w:sz w:val="32"/>
          <w:szCs w:val="32"/>
          <w:lang w:val="zh-CN"/>
        </w:rPr>
        <w:t>2.50</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1.卫生健康支出（类）行政事业单位医疗（款）行政单位医疗（项）:支出决算数为4.47万元，比上年决算增加0.07万元，增长1.52%，主要原因是：</w:t>
      </w:r>
      <w:r>
        <w:rPr>
          <w:rFonts w:hint="eastAsia" w:eastAsia="仿宋_GB2312"/>
          <w:sz w:val="32"/>
          <w:szCs w:val="32"/>
          <w:lang w:eastAsia="zh-CN"/>
        </w:rPr>
        <w:t>职务职级变动，</w:t>
      </w:r>
      <w:r>
        <w:rPr>
          <w:rFonts w:hint="eastAsia" w:eastAsia="仿宋_GB2312"/>
          <w:sz w:val="32"/>
          <w:szCs w:val="32"/>
        </w:rPr>
        <w:t>行政事业单位医疗</w:t>
      </w:r>
      <w:r>
        <w:rPr>
          <w:rFonts w:hint="eastAsia" w:eastAsia="仿宋_GB2312"/>
          <w:sz w:val="32"/>
          <w:szCs w:val="32"/>
          <w:lang w:eastAsia="zh-CN"/>
        </w:rPr>
        <w:t>缴费</w:t>
      </w:r>
      <w:r>
        <w:rPr>
          <w:rFonts w:hint="eastAsia" w:ascii="仿宋_GB2312" w:eastAsia="仿宋_GB2312"/>
          <w:sz w:val="32"/>
          <w:szCs w:val="32"/>
        </w:rPr>
        <w:t>基数调增</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2.卫生健康支出（类）行政事业单位医疗（款）公务员医疗补助（项）:支出决算数为3.89万元，比上年决算增加0.46万元，增长13.51%，主要原因是：</w:t>
      </w:r>
      <w:r>
        <w:rPr>
          <w:rFonts w:hint="eastAsia" w:eastAsia="仿宋_GB2312"/>
          <w:sz w:val="32"/>
          <w:szCs w:val="32"/>
          <w:lang w:eastAsia="zh-CN"/>
        </w:rPr>
        <w:t>职务职级变动，行</w:t>
      </w:r>
      <w:r>
        <w:rPr>
          <w:rFonts w:hint="eastAsia" w:eastAsia="仿宋_GB2312"/>
          <w:sz w:val="32"/>
          <w:szCs w:val="32"/>
        </w:rPr>
        <w:t>政事业单位医疗公务员医疗</w:t>
      </w:r>
      <w:r>
        <w:rPr>
          <w:rFonts w:hint="eastAsia" w:eastAsia="仿宋_GB2312"/>
          <w:sz w:val="32"/>
          <w:szCs w:val="32"/>
          <w:lang w:eastAsia="zh-CN"/>
        </w:rPr>
        <w:t>缴费</w:t>
      </w:r>
      <w:r>
        <w:rPr>
          <w:rFonts w:hint="eastAsia" w:ascii="仿宋_GB2312" w:eastAsia="仿宋_GB2312"/>
          <w:sz w:val="32"/>
          <w:szCs w:val="32"/>
        </w:rPr>
        <w:t>基数调增</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lang w:val="en-US" w:eastAsia="zh-CN"/>
        </w:rPr>
        <w:t>3.自然资源海洋气象等支出（类）自然资源事务（款）其他自然资源事务支出（项）:支出决算数为163.76万元，比上年决算增加17.51万元，增长11.98%，主要原因是：执法力度加大，其他自然资源事务支出</w:t>
      </w:r>
      <w:r>
        <w:rPr>
          <w:rFonts w:hint="eastAsia" w:eastAsia="仿宋_GB2312"/>
          <w:sz w:val="32"/>
          <w:szCs w:val="32"/>
        </w:rPr>
        <w:t>增加。</w:t>
      </w:r>
    </w:p>
    <w:p>
      <w:pPr>
        <w:ind w:firstLine="640" w:firstLineChars="200"/>
        <w:outlineLvl w:val="1"/>
        <w:rPr>
          <w:rFonts w:hint="eastAsia" w:eastAsia="仿宋_GB2312"/>
          <w:sz w:val="32"/>
          <w:szCs w:val="32"/>
          <w:lang w:val="zh-CN" w:eastAsia="zh-CN"/>
        </w:rPr>
      </w:pPr>
      <w:r>
        <w:rPr>
          <w:rFonts w:hint="eastAsia" w:eastAsia="仿宋_GB2312"/>
          <w:sz w:val="32"/>
          <w:szCs w:val="32"/>
        </w:rPr>
        <w:t>4.自然资源海洋气象等支出（类）自然资源事务（款）行政运行（项）:支出决算数为74.88万元，比上年决算减少8.45万元，下降10.14%，主要原因是：</w:t>
      </w:r>
      <w:r>
        <w:rPr>
          <w:rFonts w:hint="eastAsia" w:ascii="仿宋" w:hAnsi="微软雅黑" w:eastAsia="仿宋"/>
          <w:color w:val="auto"/>
          <w:sz w:val="28"/>
          <w:szCs w:val="28"/>
        </w:rPr>
        <w:t>2</w:t>
      </w:r>
      <w:r>
        <w:rPr>
          <w:rFonts w:hint="eastAsia" w:eastAsia="仿宋_GB2312"/>
          <w:sz w:val="32"/>
          <w:szCs w:val="32"/>
        </w:rPr>
        <w:t>02</w:t>
      </w:r>
      <w:r>
        <w:rPr>
          <w:rFonts w:hint="eastAsia" w:eastAsia="仿宋_GB2312"/>
          <w:sz w:val="32"/>
          <w:szCs w:val="32"/>
          <w:lang w:val="en-US" w:eastAsia="zh-CN"/>
        </w:rPr>
        <w:t>3</w:t>
      </w:r>
      <w:r>
        <w:rPr>
          <w:rFonts w:hint="eastAsia" w:eastAsia="仿宋_GB2312"/>
          <w:sz w:val="32"/>
          <w:szCs w:val="32"/>
        </w:rPr>
        <w:t>年单位在职人员</w:t>
      </w:r>
      <w:r>
        <w:rPr>
          <w:rFonts w:hint="eastAsia" w:eastAsia="仿宋_GB2312"/>
          <w:sz w:val="32"/>
          <w:szCs w:val="32"/>
          <w:lang w:eastAsia="zh-CN"/>
        </w:rPr>
        <w:t>人数较上年减少</w:t>
      </w:r>
      <w:r>
        <w:rPr>
          <w:rFonts w:hint="eastAsia" w:eastAsia="仿宋_GB2312"/>
          <w:sz w:val="32"/>
          <w:szCs w:val="32"/>
          <w:lang w:val="en-US" w:eastAsia="zh-CN"/>
        </w:rPr>
        <w:t>1人，</w:t>
      </w:r>
      <w:r>
        <w:rPr>
          <w:rFonts w:hint="eastAsia" w:eastAsia="仿宋_GB2312"/>
          <w:sz w:val="32"/>
          <w:szCs w:val="32"/>
        </w:rPr>
        <w:t>行政运行</w:t>
      </w:r>
      <w:r>
        <w:rPr>
          <w:rFonts w:hint="eastAsia" w:eastAsia="仿宋_GB2312"/>
          <w:sz w:val="32"/>
          <w:szCs w:val="32"/>
          <w:lang w:eastAsia="zh-CN"/>
        </w:rPr>
        <w:t>费用减少。</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5.住房保障支出（类）住房改革支出（款）住房公积金（项）:支出决算数为6.67万元，比上年决算增加0.55万元，增长9.00%，主要原因是：</w:t>
      </w:r>
      <w:r>
        <w:rPr>
          <w:rFonts w:hint="eastAsia" w:eastAsia="仿宋_GB2312"/>
          <w:sz w:val="32"/>
          <w:szCs w:val="32"/>
          <w:lang w:eastAsia="zh-CN"/>
        </w:rPr>
        <w:t>职务职级变动，</w:t>
      </w:r>
      <w:r>
        <w:rPr>
          <w:rFonts w:hint="eastAsia" w:ascii="仿宋_GB2312" w:eastAsia="仿宋_GB2312"/>
          <w:sz w:val="32"/>
          <w:szCs w:val="32"/>
        </w:rPr>
        <w:t>住房公积金基数调增</w:t>
      </w:r>
      <w:r>
        <w:rPr>
          <w:rFonts w:hint="eastAsia" w:eastAsia="仿宋_GB2312"/>
          <w:sz w:val="32"/>
          <w:szCs w:val="32"/>
          <w:lang w:val="zh-CN"/>
        </w:rPr>
        <w:t>。</w:t>
      </w:r>
    </w:p>
    <w:p>
      <w:pPr>
        <w:ind w:firstLine="640" w:firstLineChars="200"/>
        <w:rPr>
          <w:rFonts w:hint="eastAsia" w:ascii="Times New Roman" w:hAnsi="Times New Roman" w:eastAsia="仿宋_GB2312" w:cs="Times New Roman"/>
          <w:sz w:val="32"/>
          <w:szCs w:val="32"/>
        </w:rPr>
      </w:pPr>
      <w:r>
        <w:rPr>
          <w:rFonts w:hint="eastAsia" w:eastAsia="仿宋_GB2312"/>
          <w:sz w:val="32"/>
          <w:szCs w:val="32"/>
        </w:rPr>
        <w:t>6.社会保障和就业支出（类）行政事业单位养老支出（款）行政单位离退休（项）:支出决算数为3.86万元，比上年决算减少1.96万元，下降33.70%，主要原因是：</w:t>
      </w:r>
      <w:r>
        <w:rPr>
          <w:rFonts w:hint="eastAsia" w:ascii="Times New Roman" w:hAnsi="Times New Roman" w:eastAsia="仿宋_GB2312" w:cs="Times New Roman"/>
          <w:sz w:val="32"/>
          <w:szCs w:val="32"/>
        </w:rPr>
        <w:t xml:space="preserve">根据自治区医保局、财政厅、新疆税务局《关于进一步规范自治区职工基本医疗保险缴费基数等有关问题的通知》（新医保发〔 2023〕 58 号）“达到法定退休年龄时累计缴费达到自治区规定年限的，退休后不再缴纳基本医疗保险缴费”，基本医疗保险缴费预算同比减少形成的支出预算降幅。 </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7.社会保障和就业支出（类）行政事业单位养老支出（款）机关事业单位基本养老保险缴费支出（项）:支出决算数为8.89万元，比上年决算增加0.73万元，增长9.00%，主要原因是：</w:t>
      </w:r>
      <w:r>
        <w:rPr>
          <w:rFonts w:hint="eastAsia" w:eastAsia="仿宋_GB2312"/>
          <w:sz w:val="32"/>
          <w:szCs w:val="32"/>
          <w:lang w:eastAsia="zh-CN"/>
        </w:rPr>
        <w:t>职务职级变动，</w:t>
      </w:r>
      <w:r>
        <w:rPr>
          <w:rFonts w:hint="eastAsia" w:eastAsia="仿宋_GB2312"/>
          <w:sz w:val="32"/>
          <w:szCs w:val="32"/>
        </w:rPr>
        <w:t>行政事业单位养老</w:t>
      </w:r>
      <w:r>
        <w:rPr>
          <w:rFonts w:hint="eastAsia" w:eastAsia="仿宋_GB2312"/>
          <w:sz w:val="32"/>
          <w:szCs w:val="32"/>
          <w:lang w:eastAsia="zh-CN"/>
        </w:rPr>
        <w:t>缴费</w:t>
      </w:r>
      <w:r>
        <w:rPr>
          <w:rFonts w:hint="eastAsia" w:ascii="仿宋_GB2312" w:eastAsia="仿宋_GB2312"/>
          <w:sz w:val="32"/>
          <w:szCs w:val="32"/>
        </w:rPr>
        <w:t>基数调增</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102.66万元，其中：人员经费95.50万元，包括：基本工资、津贴补贴、奖金、机关事业单位基本养老保险缴费、职工基本医疗保险缴费、公务员医疗补助缴费、其他社会保障缴费、住房公积金、退休费。</w:t>
      </w:r>
    </w:p>
    <w:p>
      <w:pPr>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公用经费7.15万元，包括：办公费、邮电费、取暖费、差旅费、工会经费、福利费、其他交通费用、其他商品和服务支出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color w:val="auto"/>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w:t>
      </w:r>
      <w:r>
        <w:rPr>
          <w:rFonts w:hint="eastAsia" w:ascii="仿宋_GB2312" w:eastAsia="仿宋_GB2312"/>
          <w:sz w:val="32"/>
          <w:szCs w:val="32"/>
          <w:lang w:val="zh-CN"/>
        </w:rPr>
        <w:t>公务用车运行维护费</w:t>
      </w:r>
      <w:r>
        <w:rPr>
          <w:rFonts w:hint="eastAsia" w:ascii="仿宋_GB2312" w:eastAsia="仿宋_GB2312"/>
          <w:color w:val="auto"/>
          <w:sz w:val="32"/>
          <w:szCs w:val="32"/>
        </w:rPr>
        <w:t>。</w:t>
      </w:r>
      <w:r>
        <w:rPr>
          <w:rFonts w:hint="eastAsia" w:ascii="仿宋_GB2312" w:eastAsia="仿宋_GB2312"/>
          <w:color w:val="auto"/>
          <w:sz w:val="32"/>
          <w:szCs w:val="32"/>
          <w:lang w:val="zh-CN"/>
        </w:rPr>
        <w:t>公务用车购置数0辆，公务用车保有量0辆。国有资产占用情况</w:t>
      </w:r>
      <w:r>
        <w:rPr>
          <w:rFonts w:hint="eastAsia" w:ascii="仿宋_GB2312" w:eastAsia="仿宋_GB2312"/>
          <w:color w:val="auto"/>
          <w:sz w:val="32"/>
          <w:szCs w:val="32"/>
        </w:rPr>
        <w:t>中固定资产车辆</w:t>
      </w:r>
      <w:r>
        <w:rPr>
          <w:rFonts w:hint="eastAsia" w:ascii="仿宋_GB2312" w:eastAsia="仿宋_GB2312"/>
          <w:color w:val="auto"/>
          <w:sz w:val="32"/>
          <w:szCs w:val="32"/>
          <w:lang w:val="zh-CN"/>
        </w:rPr>
        <w:t>4辆，</w:t>
      </w:r>
      <w:r>
        <w:rPr>
          <w:rFonts w:hint="eastAsia" w:ascii="仿宋_GB2312" w:eastAsia="仿宋_GB2312"/>
          <w:color w:val="auto"/>
          <w:sz w:val="32"/>
          <w:szCs w:val="32"/>
        </w:rPr>
        <w:t>与</w:t>
      </w:r>
      <w:r>
        <w:rPr>
          <w:rFonts w:hint="eastAsia" w:ascii="仿宋_GB2312" w:eastAsia="仿宋_GB2312"/>
          <w:color w:val="auto"/>
          <w:sz w:val="32"/>
          <w:szCs w:val="32"/>
          <w:lang w:val="zh-CN"/>
        </w:rPr>
        <w:t>公务用车</w:t>
      </w:r>
      <w:r>
        <w:rPr>
          <w:rFonts w:hint="eastAsia" w:ascii="仿宋_GB2312" w:eastAsia="仿宋_GB2312"/>
          <w:color w:val="auto"/>
          <w:sz w:val="32"/>
          <w:szCs w:val="32"/>
        </w:rPr>
        <w:t>保有量差异</w:t>
      </w:r>
      <w:r>
        <w:rPr>
          <w:rFonts w:hint="eastAsia" w:ascii="仿宋_GB2312" w:eastAsia="仿宋_GB2312"/>
          <w:color w:val="auto"/>
          <w:sz w:val="32"/>
          <w:szCs w:val="32"/>
          <w:lang w:val="zh-CN"/>
        </w:rPr>
        <w:t>原因是：我单位</w:t>
      </w:r>
      <w:r>
        <w:rPr>
          <w:rFonts w:hint="eastAsia" w:ascii="仿宋_GB2312" w:eastAsia="仿宋_GB2312"/>
          <w:color w:val="auto"/>
          <w:sz w:val="32"/>
          <w:szCs w:val="32"/>
        </w:rPr>
        <w:t>固定资产车辆</w:t>
      </w:r>
      <w:r>
        <w:rPr>
          <w:rFonts w:hint="eastAsia" w:ascii="仿宋_GB2312" w:eastAsia="仿宋_GB2312"/>
          <w:color w:val="auto"/>
          <w:sz w:val="32"/>
          <w:szCs w:val="32"/>
          <w:lang w:val="en-US" w:eastAsia="zh-CN"/>
        </w:rPr>
        <w:t>1辆为执法执勤用车、3辆为其他用车</w:t>
      </w:r>
      <w:r>
        <w:rPr>
          <w:rFonts w:hint="eastAsia" w:ascii="仿宋_GB2312" w:eastAsia="仿宋_GB2312"/>
          <w:sz w:val="32"/>
          <w:szCs w:val="32"/>
          <w:lang w:val="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乌鲁木齐市米东区国土资源执法监察大队（行政单位和参照公务员法管理事业单位）机关运行经费支出7.15万元，比上年减少0.81万元，下降10.14%，主要原因是：</w:t>
      </w:r>
      <w:r>
        <w:rPr>
          <w:rFonts w:hint="eastAsia" w:eastAsia="仿宋_GB2312"/>
          <w:color w:val="auto"/>
          <w:sz w:val="32"/>
          <w:szCs w:val="32"/>
          <w:lang w:eastAsia="zh-CN"/>
        </w:rPr>
        <w:t>在职人员减少</w:t>
      </w:r>
      <w:r>
        <w:rPr>
          <w:rFonts w:hint="eastAsia" w:eastAsia="仿宋_GB2312"/>
          <w:color w:val="auto"/>
          <w:sz w:val="32"/>
          <w:szCs w:val="32"/>
          <w:lang w:val="en-US" w:eastAsia="zh-CN"/>
        </w:rPr>
        <w:t>1名，</w:t>
      </w:r>
      <w:r>
        <w:rPr>
          <w:rFonts w:hint="eastAsia" w:eastAsia="仿宋_GB2312"/>
          <w:sz w:val="32"/>
          <w:szCs w:val="32"/>
        </w:rPr>
        <w:t>机关运行经费</w:t>
      </w:r>
      <w:r>
        <w:rPr>
          <w:rFonts w:hint="eastAsia" w:eastAsia="仿宋_GB2312"/>
          <w:color w:val="auto"/>
          <w:sz w:val="32"/>
          <w:szCs w:val="32"/>
          <w:lang w:val="en-US" w:eastAsia="zh-CN"/>
        </w:rPr>
        <w:t>支出减少</w:t>
      </w:r>
      <w:r>
        <w:rPr>
          <w:rFonts w:hint="eastAsia" w:eastAsia="仿宋_GB2312"/>
          <w:sz w:val="32"/>
          <w:szCs w:val="32"/>
          <w:lang w:val="en-US" w:eastAsia="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234.22</w:t>
      </w:r>
      <w:r>
        <w:rPr>
          <w:rFonts w:hint="eastAsia" w:eastAsia="仿宋_GB2312"/>
          <w:sz w:val="32"/>
          <w:szCs w:val="32"/>
        </w:rPr>
        <w:t>万元，房</w:t>
      </w:r>
      <w:r>
        <w:rPr>
          <w:rFonts w:hint="eastAsia" w:eastAsia="仿宋_GB2312"/>
          <w:sz w:val="32"/>
          <w:szCs w:val="32"/>
          <w:lang w:val="zh-CN"/>
        </w:rPr>
        <w:t>屋143.25平方米，价值113.67万元。车辆4辆，价值74.81万元，其中：副部（省）级及以上领导用车0辆、主要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w:t>
      </w:r>
      <w:r>
        <w:rPr>
          <w:rFonts w:hint="eastAsia" w:ascii="仿宋_GB2312" w:eastAsia="仿宋_GB2312"/>
          <w:sz w:val="32"/>
          <w:szCs w:val="32"/>
        </w:rPr>
        <w:t>补充日常执法用车及其他业务用车；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授予中小企业合同金额、授予小微企业合同金额为0.00万元，主要原因是：我单位为自治区垂直管理单位，不在自治区集中采购范围内，所以无政府采购相关情况。</w:t>
      </w:r>
    </w:p>
    <w:p>
      <w:pPr>
        <w:ind w:firstLine="2240" w:firstLineChars="700"/>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第三部分 专业名词解释</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0" w:name="_Toc2183"/>
      <w:bookmarkStart w:id="31" w:name="_Toc6062"/>
      <w:r>
        <w:rPr>
          <w:rFonts w:hint="eastAsia" w:ascii="黑体" w:hAnsi="黑体" w:eastAsia="仿宋_GB2312" w:cs="宋体"/>
          <w:bCs/>
          <w:kern w:val="0"/>
          <w:sz w:val="32"/>
          <w:szCs w:val="32"/>
        </w:rPr>
        <w:t>一、《收入支出决算总表》</w:t>
      </w:r>
      <w:bookmarkEnd w:id="30"/>
      <w:bookmarkEnd w:id="31"/>
    </w:p>
    <w:p>
      <w:pPr>
        <w:ind w:firstLine="640" w:firstLineChars="200"/>
        <w:outlineLvl w:val="1"/>
        <w:rPr>
          <w:rFonts w:ascii="黑体" w:hAnsi="黑体" w:eastAsia="仿宋_GB2312" w:cs="宋体"/>
          <w:bCs/>
          <w:kern w:val="0"/>
          <w:sz w:val="32"/>
          <w:szCs w:val="32"/>
        </w:rPr>
      </w:pPr>
      <w:bookmarkStart w:id="32" w:name="_Toc24532"/>
      <w:bookmarkStart w:id="33" w:name="_Toc30364"/>
      <w:r>
        <w:rPr>
          <w:rFonts w:hint="eastAsia" w:ascii="黑体" w:hAnsi="黑体" w:eastAsia="仿宋_GB2312" w:cs="宋体"/>
          <w:bCs/>
          <w:kern w:val="0"/>
          <w:sz w:val="32"/>
          <w:szCs w:val="32"/>
        </w:rPr>
        <w:t>二、《收入决算表》</w:t>
      </w:r>
      <w:bookmarkEnd w:id="32"/>
      <w:bookmarkEnd w:id="33"/>
    </w:p>
    <w:p>
      <w:pPr>
        <w:ind w:firstLine="640" w:firstLineChars="200"/>
        <w:outlineLvl w:val="1"/>
        <w:rPr>
          <w:rFonts w:ascii="黑体" w:hAnsi="黑体" w:eastAsia="仿宋_GB2312" w:cs="宋体"/>
          <w:bCs/>
          <w:kern w:val="0"/>
          <w:sz w:val="32"/>
          <w:szCs w:val="32"/>
        </w:rPr>
      </w:pPr>
      <w:bookmarkStart w:id="34" w:name="_Toc21304"/>
      <w:bookmarkStart w:id="35" w:name="_Toc32434"/>
      <w:r>
        <w:rPr>
          <w:rFonts w:hint="eastAsia" w:ascii="黑体" w:hAnsi="黑体" w:eastAsia="仿宋_GB2312" w:cs="宋体"/>
          <w:bCs/>
          <w:kern w:val="0"/>
          <w:sz w:val="32"/>
          <w:szCs w:val="32"/>
        </w:rPr>
        <w:t>三、《支出决算表》</w:t>
      </w:r>
      <w:bookmarkEnd w:id="34"/>
      <w:bookmarkEnd w:id="35"/>
    </w:p>
    <w:p>
      <w:pPr>
        <w:ind w:firstLine="640" w:firstLineChars="200"/>
        <w:outlineLvl w:val="1"/>
        <w:rPr>
          <w:rFonts w:ascii="黑体" w:hAnsi="黑体" w:eastAsia="仿宋_GB2312" w:cs="宋体"/>
          <w:bCs/>
          <w:kern w:val="0"/>
          <w:sz w:val="32"/>
          <w:szCs w:val="32"/>
        </w:rPr>
      </w:pPr>
      <w:bookmarkStart w:id="36" w:name="_Toc28786"/>
      <w:bookmarkStart w:id="37" w:name="_Toc14238"/>
      <w:r>
        <w:rPr>
          <w:rFonts w:hint="eastAsia" w:ascii="黑体" w:hAnsi="黑体" w:eastAsia="仿宋_GB2312" w:cs="宋体"/>
          <w:bCs/>
          <w:kern w:val="0"/>
          <w:sz w:val="32"/>
          <w:szCs w:val="32"/>
        </w:rPr>
        <w:t>四、《财政拨款收入支出决算总表》</w:t>
      </w:r>
      <w:bookmarkEnd w:id="36"/>
      <w:bookmarkEnd w:id="37"/>
    </w:p>
    <w:p>
      <w:pPr>
        <w:ind w:firstLine="640" w:firstLineChars="200"/>
        <w:outlineLvl w:val="1"/>
        <w:rPr>
          <w:rFonts w:ascii="黑体" w:hAnsi="黑体" w:eastAsia="仿宋_GB2312" w:cs="宋体"/>
          <w:bCs/>
          <w:kern w:val="0"/>
          <w:sz w:val="32"/>
          <w:szCs w:val="32"/>
        </w:rPr>
      </w:pPr>
      <w:bookmarkStart w:id="38" w:name="_Toc14869"/>
      <w:bookmarkStart w:id="39" w:name="_Toc10347"/>
      <w:r>
        <w:rPr>
          <w:rFonts w:hint="eastAsia" w:ascii="黑体" w:hAnsi="黑体" w:eastAsia="仿宋_GB2312" w:cs="宋体"/>
          <w:bCs/>
          <w:kern w:val="0"/>
          <w:sz w:val="32"/>
          <w:szCs w:val="32"/>
        </w:rPr>
        <w:t>五、《一般公共预算财政拨款支出决算表》</w:t>
      </w:r>
      <w:bookmarkEnd w:id="38"/>
      <w:bookmarkEnd w:id="39"/>
    </w:p>
    <w:p>
      <w:pPr>
        <w:ind w:firstLine="640" w:firstLineChars="200"/>
        <w:outlineLvl w:val="1"/>
        <w:rPr>
          <w:rFonts w:ascii="黑体" w:hAnsi="黑体" w:eastAsia="仿宋_GB2312" w:cs="宋体"/>
          <w:bCs/>
          <w:kern w:val="0"/>
          <w:sz w:val="32"/>
          <w:szCs w:val="32"/>
        </w:rPr>
      </w:pPr>
      <w:bookmarkStart w:id="40" w:name="_Toc8884"/>
      <w:bookmarkStart w:id="41" w:name="_Toc5626"/>
      <w:r>
        <w:rPr>
          <w:rFonts w:hint="eastAsia" w:ascii="黑体" w:hAnsi="黑体" w:eastAsia="仿宋_GB2312" w:cs="宋体"/>
          <w:bCs/>
          <w:kern w:val="0"/>
          <w:sz w:val="32"/>
          <w:szCs w:val="32"/>
        </w:rPr>
        <w:t>六、《一般公共预算财政拨款基本支出决算表》</w:t>
      </w:r>
      <w:bookmarkEnd w:id="40"/>
      <w:bookmarkEnd w:id="41"/>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2" w:name="_Toc29106"/>
      <w:bookmarkStart w:id="43" w:name="_Toc32663"/>
      <w:r>
        <w:rPr>
          <w:rFonts w:hint="eastAsia" w:ascii="黑体" w:hAnsi="黑体" w:eastAsia="仿宋_GB2312" w:cs="宋体"/>
          <w:bCs/>
          <w:kern w:val="0"/>
          <w:sz w:val="32"/>
          <w:szCs w:val="32"/>
        </w:rPr>
        <w:t>《财政拨款“三公”经费支出决算表》</w:t>
      </w:r>
      <w:bookmarkEnd w:id="42"/>
      <w:bookmarkEnd w:id="43"/>
    </w:p>
    <w:p>
      <w:pPr>
        <w:ind w:firstLine="640" w:firstLineChars="200"/>
        <w:outlineLvl w:val="1"/>
        <w:rPr>
          <w:rFonts w:ascii="黑体" w:hAnsi="黑体" w:eastAsia="仿宋_GB2312" w:cs="宋体"/>
          <w:bCs/>
          <w:kern w:val="0"/>
          <w:sz w:val="32"/>
          <w:szCs w:val="32"/>
        </w:rPr>
      </w:pPr>
      <w:bookmarkStart w:id="44" w:name="_Toc5453"/>
      <w:bookmarkStart w:id="45" w:name="_Toc7643"/>
      <w:r>
        <w:rPr>
          <w:rFonts w:hint="eastAsia" w:ascii="黑体" w:hAnsi="黑体" w:eastAsia="仿宋_GB2312" w:cs="宋体"/>
          <w:bCs/>
          <w:kern w:val="0"/>
          <w:sz w:val="32"/>
          <w:szCs w:val="32"/>
        </w:rPr>
        <w:t>八、《政府性基金预算财政拨款收入支出决算表》</w:t>
      </w:r>
      <w:bookmarkEnd w:id="44"/>
      <w:bookmarkEnd w:id="45"/>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D93403"/>
    <w:rsid w:val="00213C59"/>
    <w:rsid w:val="003210CE"/>
    <w:rsid w:val="00641A21"/>
    <w:rsid w:val="00B57144"/>
    <w:rsid w:val="00B70D59"/>
    <w:rsid w:val="00D93403"/>
    <w:rsid w:val="00F52A8D"/>
    <w:rsid w:val="019404F8"/>
    <w:rsid w:val="01A467AF"/>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951550"/>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C353E9"/>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1D9414D"/>
    <w:rsid w:val="120E0809"/>
    <w:rsid w:val="127F665A"/>
    <w:rsid w:val="12F7068C"/>
    <w:rsid w:val="14207DC0"/>
    <w:rsid w:val="147C434A"/>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3B4518"/>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1E2203"/>
    <w:rsid w:val="264A7253"/>
    <w:rsid w:val="26F0170C"/>
    <w:rsid w:val="27201D62"/>
    <w:rsid w:val="27286E73"/>
    <w:rsid w:val="27CF2642"/>
    <w:rsid w:val="27E777F5"/>
    <w:rsid w:val="27EA1D4C"/>
    <w:rsid w:val="27EA2E41"/>
    <w:rsid w:val="282459E2"/>
    <w:rsid w:val="283A7FE5"/>
    <w:rsid w:val="285F51FF"/>
    <w:rsid w:val="28984B1D"/>
    <w:rsid w:val="28DF2665"/>
    <w:rsid w:val="29072599"/>
    <w:rsid w:val="291029F3"/>
    <w:rsid w:val="294C4D51"/>
    <w:rsid w:val="29CB58F0"/>
    <w:rsid w:val="2A053397"/>
    <w:rsid w:val="2A0E3601"/>
    <w:rsid w:val="2A145E96"/>
    <w:rsid w:val="2AF5378F"/>
    <w:rsid w:val="2BB94DBF"/>
    <w:rsid w:val="2C6F314E"/>
    <w:rsid w:val="2CC206BE"/>
    <w:rsid w:val="2D1136DF"/>
    <w:rsid w:val="2D20606D"/>
    <w:rsid w:val="2DB87198"/>
    <w:rsid w:val="2DB93C54"/>
    <w:rsid w:val="2E3D144C"/>
    <w:rsid w:val="2E891204"/>
    <w:rsid w:val="2EA32B23"/>
    <w:rsid w:val="2F3F0A28"/>
    <w:rsid w:val="2FBF7029"/>
    <w:rsid w:val="2FD0187F"/>
    <w:rsid w:val="2FD27414"/>
    <w:rsid w:val="2FE95B9E"/>
    <w:rsid w:val="2FFE4BB0"/>
    <w:rsid w:val="300E7B60"/>
    <w:rsid w:val="300F6E18"/>
    <w:rsid w:val="30862F5F"/>
    <w:rsid w:val="314029C9"/>
    <w:rsid w:val="31C63837"/>
    <w:rsid w:val="31C82E39"/>
    <w:rsid w:val="32013BFD"/>
    <w:rsid w:val="32601BAD"/>
    <w:rsid w:val="329F6389"/>
    <w:rsid w:val="3389023A"/>
    <w:rsid w:val="33CB74FA"/>
    <w:rsid w:val="343642F2"/>
    <w:rsid w:val="343F3010"/>
    <w:rsid w:val="345D0A00"/>
    <w:rsid w:val="34713BFD"/>
    <w:rsid w:val="34C13589"/>
    <w:rsid w:val="353369E3"/>
    <w:rsid w:val="35E00D72"/>
    <w:rsid w:val="36965B9D"/>
    <w:rsid w:val="36C549FD"/>
    <w:rsid w:val="36EA0956"/>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D84DA6"/>
    <w:rsid w:val="3C220FF4"/>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07531"/>
    <w:rsid w:val="3FDC3674"/>
    <w:rsid w:val="3FED7F8A"/>
    <w:rsid w:val="40094AEF"/>
    <w:rsid w:val="405470BD"/>
    <w:rsid w:val="40794A29"/>
    <w:rsid w:val="40834692"/>
    <w:rsid w:val="40BE3EAB"/>
    <w:rsid w:val="40EC04FD"/>
    <w:rsid w:val="41431AD5"/>
    <w:rsid w:val="414B3C0F"/>
    <w:rsid w:val="417434AA"/>
    <w:rsid w:val="417C1CE7"/>
    <w:rsid w:val="41900018"/>
    <w:rsid w:val="41944406"/>
    <w:rsid w:val="41CE128F"/>
    <w:rsid w:val="41DA6F12"/>
    <w:rsid w:val="42171FB1"/>
    <w:rsid w:val="421A255B"/>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3009C"/>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9D4315"/>
    <w:rsid w:val="52F647F7"/>
    <w:rsid w:val="52F92565"/>
    <w:rsid w:val="53D03877"/>
    <w:rsid w:val="542F73CA"/>
    <w:rsid w:val="5430786D"/>
    <w:rsid w:val="54C811C0"/>
    <w:rsid w:val="556A442D"/>
    <w:rsid w:val="556D390E"/>
    <w:rsid w:val="55DA564E"/>
    <w:rsid w:val="55FC5BE4"/>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777175"/>
    <w:rsid w:val="59B81217"/>
    <w:rsid w:val="5A60780B"/>
    <w:rsid w:val="5AB34579"/>
    <w:rsid w:val="5AFC6609"/>
    <w:rsid w:val="5B113480"/>
    <w:rsid w:val="5B9B2A5D"/>
    <w:rsid w:val="5BD456CE"/>
    <w:rsid w:val="5C0D1F49"/>
    <w:rsid w:val="5CBB0CE2"/>
    <w:rsid w:val="5CC17177"/>
    <w:rsid w:val="5CF306BC"/>
    <w:rsid w:val="5D3F3D64"/>
    <w:rsid w:val="5D833043"/>
    <w:rsid w:val="5DD92690"/>
    <w:rsid w:val="5DDB1CFD"/>
    <w:rsid w:val="5E7E6D93"/>
    <w:rsid w:val="5ED44800"/>
    <w:rsid w:val="5F2C1237"/>
    <w:rsid w:val="5F350BDE"/>
    <w:rsid w:val="5F61632C"/>
    <w:rsid w:val="5FA17648"/>
    <w:rsid w:val="5FE705CB"/>
    <w:rsid w:val="603D5080"/>
    <w:rsid w:val="60D0261B"/>
    <w:rsid w:val="60FE5AFF"/>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077D1"/>
    <w:rsid w:val="69D005C0"/>
    <w:rsid w:val="69D80B96"/>
    <w:rsid w:val="6B68175F"/>
    <w:rsid w:val="6BA41015"/>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D92192"/>
    <w:rsid w:val="73E90112"/>
    <w:rsid w:val="73FB6630"/>
    <w:rsid w:val="748D790E"/>
    <w:rsid w:val="749820CC"/>
    <w:rsid w:val="74CE04EC"/>
    <w:rsid w:val="74E76DCD"/>
    <w:rsid w:val="751D7C0A"/>
    <w:rsid w:val="75722D56"/>
    <w:rsid w:val="75DB5477"/>
    <w:rsid w:val="75FC6AC3"/>
    <w:rsid w:val="7616619B"/>
    <w:rsid w:val="76660D7C"/>
    <w:rsid w:val="766C5968"/>
    <w:rsid w:val="76757927"/>
    <w:rsid w:val="76BE0C8F"/>
    <w:rsid w:val="76CD53B2"/>
    <w:rsid w:val="76EA6E8C"/>
    <w:rsid w:val="770719AC"/>
    <w:rsid w:val="776526CC"/>
    <w:rsid w:val="77983082"/>
    <w:rsid w:val="77A262E1"/>
    <w:rsid w:val="77B13C33"/>
    <w:rsid w:val="77ED6F44"/>
    <w:rsid w:val="77F45548"/>
    <w:rsid w:val="78237037"/>
    <w:rsid w:val="784E7CA6"/>
    <w:rsid w:val="78574801"/>
    <w:rsid w:val="7873527F"/>
    <w:rsid w:val="790A6425"/>
    <w:rsid w:val="790E2D96"/>
    <w:rsid w:val="791B54B2"/>
    <w:rsid w:val="791C31F7"/>
    <w:rsid w:val="795A0A34"/>
    <w:rsid w:val="79730DC9"/>
    <w:rsid w:val="797339C3"/>
    <w:rsid w:val="79974FDE"/>
    <w:rsid w:val="79D57D57"/>
    <w:rsid w:val="79F00650"/>
    <w:rsid w:val="7A6242BF"/>
    <w:rsid w:val="7A794513"/>
    <w:rsid w:val="7AB51CE0"/>
    <w:rsid w:val="7AE952D2"/>
    <w:rsid w:val="7B6B1755"/>
    <w:rsid w:val="7C976D69"/>
    <w:rsid w:val="7CD752DA"/>
    <w:rsid w:val="7CDE40AB"/>
    <w:rsid w:val="7CF057E2"/>
    <w:rsid w:val="7D1548B5"/>
    <w:rsid w:val="7DE04986"/>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1"/>
    <w:rPr>
      <w:rFonts w:ascii="仿宋" w:hAnsi="仿宋" w:eastAsia="仿宋" w:cs="仿宋"/>
      <w:sz w:val="28"/>
      <w:szCs w:val="28"/>
      <w:lang w:val="en-US" w:eastAsia="en-US" w:bidi="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character" w:customStyle="1" w:styleId="16">
    <w:name w:val="fontstyle01"/>
    <w:basedOn w:val="11"/>
    <w:qFormat/>
    <w:uiPriority w:val="0"/>
    <w:rPr>
      <w:rFonts w:ascii="仿宋" w:hAnsi="仿宋" w:eastAsia="仿宋" w:cs="仿宋"/>
      <w:color w:val="00000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5159</Words>
  <Characters>5736</Characters>
  <Lines>54</Lines>
  <Paragraphs>15</Paragraphs>
  <TotalTime>0</TotalTime>
  <ScaleCrop>false</ScaleCrop>
  <LinksUpToDate>false</LinksUpToDate>
  <CharactersWithSpaces>5751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2024-08-12T09:36:00Z</dcterms:created>
  <dc:creator>GXR</dc:creator>
  <cp:lastModifiedBy>Administrator</cp:lastModifiedBy>
  <dcterms:modified xsi:type="dcterms:W3CDTF">2024-09-08T00:16:41Z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