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伊宁县国土资源执法监察大队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ascii="仿宋_GB2312" w:eastAsia="仿宋_GB2312"/>
          <w:sz w:val="32"/>
          <w:szCs w:val="32"/>
        </w:rPr>
      </w:pPr>
      <w:r>
        <w:rPr>
          <w:rFonts w:hint="eastAsia" w:ascii="仿宋_GB2312" w:eastAsia="仿宋_GB2312"/>
          <w:color w:val="auto"/>
          <w:sz w:val="32"/>
          <w:szCs w:val="32"/>
          <w:highlight w:val="none"/>
          <w:lang w:val="en-US" w:eastAsia="zh-CN"/>
        </w:rPr>
        <w:t>伊宁县</w:t>
      </w:r>
      <w:r>
        <w:rPr>
          <w:rFonts w:ascii="仿宋_GB2312" w:eastAsia="仿宋_GB2312"/>
          <w:sz w:val="32"/>
          <w:szCs w:val="32"/>
        </w:rPr>
        <w:t>国土资源执法监察大队，为自治区自然资源厅下属级四级单位，参照公务员法管理的事业单位。实行垂直管理，统一履行</w:t>
      </w:r>
      <w:r>
        <w:rPr>
          <w:rFonts w:hint="eastAsia" w:ascii="仿宋_GB2312" w:eastAsia="仿宋_GB2312"/>
          <w:color w:val="auto"/>
          <w:sz w:val="32"/>
          <w:szCs w:val="32"/>
          <w:highlight w:val="none"/>
          <w:lang w:val="en-US" w:eastAsia="zh-CN"/>
        </w:rPr>
        <w:t>伊宁县</w:t>
      </w:r>
      <w:r>
        <w:rPr>
          <w:rFonts w:ascii="仿宋_GB2312" w:eastAsia="仿宋_GB2312"/>
          <w:sz w:val="32"/>
          <w:szCs w:val="32"/>
        </w:rPr>
        <w:t>国土资源执法监察职能。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ascii="仿宋_GB2312" w:eastAsia="仿宋_GB2312"/>
          <w:sz w:val="32"/>
          <w:szCs w:val="32"/>
        </w:rPr>
        <w:t>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2、依法组织和实施自治区重大土地、矿产资源违法案件的调查、取证、现场勘验工作，并进行查处；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3、以服务地方经济发展为中心，促进国土执法监察工作，以全面落实国土执法监察工作机制，严厉查处各类国土资源违法行为，切实维护辖区土地、矿产资源合理开发利用秩序，促进地方经济发展为己任，尽职尽责保护国土资源</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伊宁县国土资源执法监察大队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90.95万元，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90.95万元，使用非财政拨款结余0.00万元，年初结转和结余0.00万元。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90.95万元，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90.95万元，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减少3.76万元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下降3.97%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2022年度年初有上年度结余资金，本年度年初无结余资金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90.95</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90.93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本年支出90.95万元，其中：基本支出80.95万元，占89.00%；项目支出10.00万元，占11.00%；上缴上级支出0.00万元，占0.00%；经营支出0.00万元，占0.00%；对附属单位补助支出0.00万元，占0.00%。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90.93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90.93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90.93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90.93</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减少3.76万元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下降3.97%，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2022年度年初有上年度结余资金，本年度年初无结余资金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77.07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90.93</w:t>
      </w:r>
      <w:r>
        <w:rPr>
          <w:rFonts w:hint="eastAsia" w:ascii="仿宋_GB2312" w:eastAsia="仿宋_GB2312"/>
          <w:color w:val="auto"/>
          <w:spacing w:val="0"/>
          <w:sz w:val="32"/>
          <w:szCs w:val="32"/>
          <w:highlight w:val="none"/>
          <w:lang w:eastAsia="zh-CN"/>
        </w:rPr>
        <w:t>万元，预决算差异率17.99%，主要原因是：</w:t>
      </w:r>
      <w:r>
        <w:rPr>
          <w:rFonts w:hint="eastAsia" w:ascii="仿宋_GB2312" w:eastAsia="仿宋_GB2312"/>
          <w:color w:val="auto"/>
          <w:spacing w:val="0"/>
          <w:sz w:val="32"/>
          <w:szCs w:val="32"/>
          <w:highlight w:val="none"/>
          <w:lang w:val="en-US" w:eastAsia="zh-CN"/>
        </w:rPr>
        <w:t>人员工资增加，追加绩效经费</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2023年度一般公共预算财政拨款支出90.93万元，占本年支出合计的</w:t>
      </w:r>
      <w:r>
        <w:rPr>
          <w:rFonts w:hint="eastAsia" w:ascii="仿宋_GB2312" w:eastAsia="仿宋_GB2312"/>
          <w:color w:val="auto"/>
          <w:spacing w:val="0"/>
          <w:sz w:val="32"/>
          <w:szCs w:val="32"/>
          <w:highlight w:val="none"/>
          <w:lang w:val="zh-CN" w:eastAsia="zh-CN"/>
        </w:rPr>
        <w:t>99.98%</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减少3.76万元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下降3.97%，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执法办案业务</w:t>
      </w:r>
      <w:r>
        <w:rPr>
          <w:rFonts w:hint="eastAsia" w:ascii="仿宋_GB2312" w:eastAsia="仿宋_GB2312"/>
          <w:sz w:val="32"/>
          <w:szCs w:val="32"/>
          <w:lang w:eastAsia="zh-CN"/>
        </w:rPr>
        <w:t>经费减少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77.07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90.93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17.99%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人员工资增加，追加绩效经费</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14.56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16.02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6.07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6.68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65.45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71.98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4.85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5.33</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1.卫生健康支出（类）行政事业单位医疗（款）行政单位医疗（项）:支出决算数为3.25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9.81%，主要原因是：</w:t>
      </w:r>
      <w:r>
        <w:rPr>
          <w:rFonts w:hint="eastAsia" w:ascii="仿宋" w:hAnsi="仿宋" w:eastAsia="仿宋"/>
          <w:sz w:val="32"/>
          <w:szCs w:val="32"/>
          <w:u w:val="none"/>
        </w:rPr>
        <w:t>在职人员工资调整、医疗保险缴费基数</w:t>
      </w:r>
      <w:r>
        <w:rPr>
          <w:rFonts w:hint="eastAsia" w:ascii="仿宋" w:hAnsi="仿宋" w:eastAsia="仿宋"/>
          <w:sz w:val="32"/>
          <w:szCs w:val="32"/>
          <w:u w:val="none"/>
          <w:lang w:val="en-US" w:eastAsia="zh-CN"/>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2.卫生健康支出（类）行政事业单位医疗（款）公务员医疗补助（项）:支出决算数为2.83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22.93%，主要原因是：</w:t>
      </w:r>
      <w:r>
        <w:rPr>
          <w:rFonts w:hint="eastAsia" w:ascii="仿宋" w:hAnsi="仿宋" w:eastAsia="仿宋"/>
          <w:sz w:val="32"/>
          <w:szCs w:val="32"/>
          <w:u w:val="none"/>
        </w:rPr>
        <w:t>在职人员工资调整、医疗保险缴费基数</w:t>
      </w:r>
      <w:r>
        <w:rPr>
          <w:rFonts w:hint="eastAsia" w:ascii="仿宋" w:hAnsi="仿宋" w:eastAsia="仿宋"/>
          <w:sz w:val="32"/>
          <w:szCs w:val="32"/>
          <w:u w:val="none"/>
          <w:lang w:val="en-US" w:eastAsia="zh-CN"/>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12.13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54.81%，主要原因是：</w:t>
      </w:r>
      <w:r>
        <w:rPr>
          <w:rFonts w:hint="eastAsia" w:ascii="仿宋_GB2312" w:eastAsia="仿宋_GB2312"/>
          <w:sz w:val="32"/>
          <w:szCs w:val="32"/>
        </w:rPr>
        <w:t>执法办案业务</w:t>
      </w:r>
      <w:r>
        <w:rPr>
          <w:rFonts w:hint="eastAsia" w:ascii="仿宋_GB2312" w:eastAsia="仿宋_GB2312"/>
          <w:sz w:val="32"/>
          <w:szCs w:val="32"/>
          <w:lang w:eastAsia="zh-CN"/>
        </w:rPr>
        <w:t>经费减少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4.自然资源海洋气象等支出（类）自然资源事务（款）行政运行（项）:支出决算数为55.45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1.02%，主要原因是：</w:t>
      </w:r>
      <w:r>
        <w:rPr>
          <w:rFonts w:hint="eastAsia" w:ascii="仿宋" w:hAnsi="仿宋" w:eastAsia="仿宋"/>
          <w:sz w:val="32"/>
          <w:szCs w:val="32"/>
          <w:u w:val="none"/>
        </w:rPr>
        <w:t>在职人员工资调整</w:t>
      </w:r>
      <w:r>
        <w:rPr>
          <w:rFonts w:hint="eastAsia" w:ascii="仿宋" w:hAnsi="仿宋" w:eastAsia="仿宋"/>
          <w:sz w:val="32"/>
          <w:szCs w:val="32"/>
          <w:u w:val="none"/>
          <w:lang w:val="en-US" w:eastAsia="zh-CN"/>
        </w:rPr>
        <w:t>增加，相应支出增加</w:t>
      </w:r>
      <w:bookmarkStart w:id="48" w:name="_GoBack"/>
      <w:bookmarkEnd w:id="48"/>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5.住房保障支出（类）住房改革支出（款）住房公积金（项）:支出决算数为4.85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18.39%，主要原因是：</w:t>
      </w:r>
      <w:r>
        <w:rPr>
          <w:rFonts w:hint="eastAsia" w:ascii="仿宋" w:hAnsi="仿宋" w:eastAsia="仿宋"/>
          <w:sz w:val="32"/>
          <w:szCs w:val="32"/>
          <w:u w:val="none"/>
        </w:rPr>
        <w:t>在职人员</w:t>
      </w:r>
      <w:r>
        <w:rPr>
          <w:rFonts w:hint="eastAsia" w:ascii="仿宋" w:hAnsi="仿宋" w:eastAsia="仿宋"/>
          <w:sz w:val="32"/>
          <w:szCs w:val="32"/>
          <w:u w:val="none"/>
          <w:lang w:eastAsia="zh-CN"/>
        </w:rPr>
        <w:t>工资调增，</w:t>
      </w:r>
      <w:r>
        <w:rPr>
          <w:rFonts w:hint="eastAsia" w:ascii="仿宋" w:hAnsi="仿宋" w:eastAsia="仿宋"/>
          <w:sz w:val="32"/>
          <w:szCs w:val="32"/>
          <w:u w:val="none"/>
        </w:rPr>
        <w:t>住房公积金缴费基数</w:t>
      </w:r>
      <w:r>
        <w:rPr>
          <w:rFonts w:hint="eastAsia" w:ascii="仿宋" w:hAnsi="仿宋" w:eastAsia="仿宋"/>
          <w:sz w:val="32"/>
          <w:szCs w:val="32"/>
          <w:u w:val="none"/>
          <w:lang w:val="en-US" w:eastAsia="zh-CN"/>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6.社会保障和就业支出（类）行政事业单位养老支出（款）行政单位离退休（项）:支出决算数为2.34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18.49%，主要原因是：</w:t>
      </w:r>
      <w:r>
        <w:rPr>
          <w:rFonts w:hint="eastAsia" w:eastAsia="仿宋_GB2312" w:cs="Times New Roman"/>
          <w:color w:val="auto"/>
          <w:kern w:val="2"/>
          <w:sz w:val="32"/>
          <w:szCs w:val="32"/>
          <w:highlight w:val="none"/>
          <w:lang w:val="en-US" w:eastAsia="zh-CN" w:bidi="ar-SA"/>
        </w:rPr>
        <w:t>伊宁县离退休人员养老缴费变更，支出减少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cyan"/>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7.社会保障和就业支出（类）行政事业单位养老支出（款）机关事业单位职业年金缴费支出（项）:支出决算数为5.77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 w:hAnsi="仿宋" w:eastAsia="仿宋"/>
          <w:sz w:val="32"/>
          <w:szCs w:val="32"/>
          <w:highlight w:val="none"/>
          <w:u w:val="none"/>
          <w:lang w:eastAsia="zh-CN"/>
        </w:rPr>
        <w:t>职业年金坐实</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8.社会保障和就业支出（类）行政事业单位养老支出（款）机关事业单位基本养老保险缴费支出（项）:支出决算数为6.46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18.39%，主要原因是：</w:t>
      </w:r>
      <w:r>
        <w:rPr>
          <w:rFonts w:hint="eastAsia" w:ascii="仿宋" w:hAnsi="仿宋" w:eastAsia="仿宋"/>
          <w:sz w:val="32"/>
          <w:szCs w:val="32"/>
          <w:u w:val="none"/>
        </w:rPr>
        <w:t>在职人员工资调整、养老保险基数</w:t>
      </w:r>
      <w:r>
        <w:rPr>
          <w:rFonts w:hint="eastAsia" w:ascii="仿宋" w:hAnsi="仿宋" w:eastAsia="仿宋"/>
          <w:sz w:val="32"/>
          <w:szCs w:val="32"/>
          <w:u w:val="none"/>
          <w:lang w:val="en-US" w:eastAsia="zh-CN"/>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80.93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76.38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基本工资、津贴补贴、奖金、伙食补助费、机关事业单位基本养老保险缴费、职业年金缴费、职工基本医疗保险缴费、公务员医疗补助缴费、其他社会保障缴费、住房公积金、退休费、其他对个人和家庭的。</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4.55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办公费、取暖费、物业管理费、差旅费、工会经费、福利费、其他交通费用、其他商品和服务支出。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hint="eastAsia" w:ascii="仿宋_GB2312" w:eastAsia="仿宋_GB2312"/>
          <w:color w:val="auto"/>
          <w:sz w:val="32"/>
          <w:szCs w:val="32"/>
          <w:highlight w:val="none"/>
          <w:lang w:val="en-US" w:eastAsia="zh-CN"/>
        </w:rPr>
        <w:t>本单位无</w:t>
      </w:r>
      <w:r>
        <w:rPr>
          <w:rFonts w:hint="eastAsia" w:ascii="仿宋_GB2312" w:eastAsia="仿宋_GB2312"/>
          <w:color w:val="auto"/>
          <w:sz w:val="32"/>
          <w:szCs w:val="32"/>
          <w:highlight w:val="none"/>
          <w:lang w:val="zh-CN" w:eastAsia="zh-CN"/>
        </w:rPr>
        <w:t>“三公”经费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hint="eastAsia" w:ascii="仿宋_GB2312" w:eastAsia="仿宋_GB2312"/>
          <w:color w:val="auto"/>
          <w:sz w:val="32"/>
          <w:szCs w:val="32"/>
          <w:highlight w:val="none"/>
          <w:lang w:val="en-US" w:eastAsia="zh-CN"/>
        </w:rPr>
        <w:t>本单位无</w:t>
      </w:r>
      <w:r>
        <w:rPr>
          <w:rFonts w:hint="eastAsia" w:ascii="仿宋_GB2312" w:eastAsia="仿宋_GB2312"/>
          <w:color w:val="auto"/>
          <w:sz w:val="32"/>
          <w:szCs w:val="32"/>
          <w:highlight w:val="none"/>
          <w:lang w:val="zh-CN" w:eastAsia="zh-CN"/>
        </w:rPr>
        <w:t>因公出国（境）费支出；公务用车购置及运行维护费支出0.00万元，占0.00%，比上年增加0.00万元，增长0.00%，主要原因是：</w:t>
      </w:r>
      <w:r>
        <w:rPr>
          <w:rFonts w:hint="eastAsia" w:ascii="仿宋_GB2312" w:eastAsia="仿宋_GB2312"/>
          <w:color w:val="auto"/>
          <w:sz w:val="32"/>
          <w:szCs w:val="32"/>
          <w:highlight w:val="none"/>
          <w:lang w:val="en-US" w:eastAsia="zh-CN"/>
        </w:rPr>
        <w:t>本单位无</w:t>
      </w:r>
      <w:r>
        <w:rPr>
          <w:rFonts w:hint="eastAsia" w:ascii="仿宋_GB2312" w:eastAsia="仿宋_GB2312"/>
          <w:color w:val="auto"/>
          <w:sz w:val="32"/>
          <w:szCs w:val="32"/>
          <w:highlight w:val="none"/>
          <w:lang w:val="zh-CN" w:eastAsia="zh-CN"/>
        </w:rPr>
        <w:t>公务用车购置及运行维护费支出；公务接待费支出0.00万元，占0.00%，比上年增加0.00万元，增长0.00%，主要原因是：</w:t>
      </w:r>
      <w:r>
        <w:rPr>
          <w:rFonts w:hint="eastAsia" w:ascii="仿宋_GB2312" w:eastAsia="仿宋_GB2312"/>
          <w:color w:val="auto"/>
          <w:sz w:val="32"/>
          <w:szCs w:val="32"/>
          <w:highlight w:val="none"/>
          <w:lang w:val="en-US" w:eastAsia="zh-CN"/>
        </w:rPr>
        <w:t>本单位无</w:t>
      </w:r>
      <w:r>
        <w:rPr>
          <w:rFonts w:hint="eastAsia" w:ascii="仿宋_GB2312" w:eastAsia="仿宋_GB2312"/>
          <w:color w:val="auto"/>
          <w:sz w:val="32"/>
          <w:szCs w:val="32"/>
          <w:highlight w:val="none"/>
          <w:lang w:val="zh-CN" w:eastAsia="zh-CN"/>
        </w:rPr>
        <w:t>公务接待</w:t>
      </w:r>
      <w:r>
        <w:rPr>
          <w:rFonts w:hint="eastAsia" w:ascii="仿宋_GB2312" w:eastAsia="仿宋_GB2312"/>
          <w:color w:val="auto"/>
          <w:sz w:val="32"/>
          <w:szCs w:val="32"/>
          <w:highlight w:val="none"/>
          <w:lang w:val="en-US" w:eastAsia="zh-CN"/>
        </w:rPr>
        <w:t>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本单位无</w:t>
      </w:r>
      <w:r>
        <w:rPr>
          <w:rFonts w:hint="eastAsia" w:ascii="仿宋_GB2312" w:eastAsia="仿宋_GB2312"/>
          <w:color w:val="auto"/>
          <w:sz w:val="32"/>
          <w:szCs w:val="32"/>
          <w:highlight w:val="none"/>
          <w:lang w:val="zh-CN" w:eastAsia="zh-CN"/>
        </w:rPr>
        <w:t>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公务用车运行维护费支出。公务用车购置数0辆，公务用车保有量0辆。国有资产占用情况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我单位固定资产车辆包含1辆在编执法执勤用车，1辆不在编，属于其他执法执勤车</w:t>
      </w:r>
      <w:r>
        <w:rPr>
          <w:rFonts w:hint="eastAsia" w:eastAsia="仿宋_GB2312" w:cs="Times New Roman"/>
          <w:color w:val="auto"/>
          <w:sz w:val="32"/>
          <w:szCs w:val="32"/>
          <w:highlight w:val="none"/>
          <w:lang w:val="zh-CN" w:eastAsia="zh-CN"/>
        </w:rPr>
        <w:t>，均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本单位无</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本单位无</w:t>
      </w:r>
      <w:r>
        <w:rPr>
          <w:rFonts w:hint="eastAsia" w:ascii="仿宋_GB2312" w:eastAsia="仿宋_GB2312"/>
          <w:color w:val="auto"/>
          <w:sz w:val="32"/>
          <w:szCs w:val="32"/>
          <w:highlight w:val="none"/>
          <w:lang w:val="zh-CN" w:eastAsia="zh-CN"/>
        </w:rPr>
        <w:t>“三公”经费。其中：因公出国（境）费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本单位无</w:t>
      </w:r>
      <w:r>
        <w:rPr>
          <w:rFonts w:hint="eastAsia" w:ascii="仿宋_GB2312" w:eastAsia="仿宋_GB2312"/>
          <w:color w:val="auto"/>
          <w:sz w:val="32"/>
          <w:szCs w:val="32"/>
          <w:highlight w:val="none"/>
          <w:lang w:val="zh-CN" w:eastAsia="zh-CN"/>
        </w:rPr>
        <w:t>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本单位无</w:t>
      </w:r>
      <w:r>
        <w:rPr>
          <w:rFonts w:hint="eastAsia" w:ascii="仿宋_GB2312" w:eastAsia="仿宋_GB2312"/>
          <w:color w:val="auto"/>
          <w:sz w:val="32"/>
          <w:szCs w:val="32"/>
          <w:highlight w:val="none"/>
          <w:lang w:val="zh-CN" w:eastAsia="zh-CN"/>
        </w:rPr>
        <w:t>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本单位无</w:t>
      </w:r>
      <w:r>
        <w:rPr>
          <w:rFonts w:hint="eastAsia" w:ascii="仿宋_GB2312" w:eastAsia="仿宋_GB2312"/>
          <w:color w:val="auto"/>
          <w:sz w:val="32"/>
          <w:szCs w:val="32"/>
          <w:highlight w:val="none"/>
          <w:lang w:val="zh-CN" w:eastAsia="zh-CN"/>
        </w:rPr>
        <w:t>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本单位无</w:t>
      </w:r>
      <w:r>
        <w:rPr>
          <w:rFonts w:hint="eastAsia" w:ascii="仿宋_GB2312" w:eastAsia="仿宋_GB2312"/>
          <w:color w:val="auto"/>
          <w:sz w:val="32"/>
          <w:szCs w:val="32"/>
          <w:highlight w:val="none"/>
          <w:lang w:val="zh-CN" w:eastAsia="zh-CN"/>
        </w:rPr>
        <w:t>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伊宁县国土资源执法监察大队（行政单位和参照公务员法管理事业单位）机关运行经费支出4.55万元，比上年减少0.14万元，下降2.93%，主要原因是：</w:t>
      </w:r>
      <w:r>
        <w:rPr>
          <w:rFonts w:hint="eastAsia" w:eastAsia="仿宋_GB2312" w:cs="Times New Roman"/>
          <w:color w:val="auto"/>
          <w:sz w:val="32"/>
          <w:szCs w:val="32"/>
          <w:highlight w:val="none"/>
          <w:lang w:val="en-US" w:eastAsia="zh-CN"/>
        </w:rPr>
        <w:t>人员退休，运行支出减少</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87.43</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屋118.75平方米，价值43.94万元。车辆2辆，价值27.96万元，其中：副部（省）级及以上领导用车0辆、主要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en-US" w:eastAsia="zh-CN"/>
        </w:rPr>
        <w:t>日常事务及其他相关工作用车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0FC01D7"/>
    <w:rsid w:val="019404F8"/>
    <w:rsid w:val="01BE15AC"/>
    <w:rsid w:val="02BD3108"/>
    <w:rsid w:val="02F73D26"/>
    <w:rsid w:val="032452F2"/>
    <w:rsid w:val="034D4FEF"/>
    <w:rsid w:val="035D1785"/>
    <w:rsid w:val="039F47CE"/>
    <w:rsid w:val="03BF263A"/>
    <w:rsid w:val="03E05CE8"/>
    <w:rsid w:val="03F973EE"/>
    <w:rsid w:val="043E5B56"/>
    <w:rsid w:val="04C04386"/>
    <w:rsid w:val="04D22536"/>
    <w:rsid w:val="04FA68C4"/>
    <w:rsid w:val="0510203C"/>
    <w:rsid w:val="053F5AE6"/>
    <w:rsid w:val="057C0B0F"/>
    <w:rsid w:val="05EF4B48"/>
    <w:rsid w:val="05F76ECA"/>
    <w:rsid w:val="06792773"/>
    <w:rsid w:val="07093795"/>
    <w:rsid w:val="07804730"/>
    <w:rsid w:val="079052BE"/>
    <w:rsid w:val="07AF4BB8"/>
    <w:rsid w:val="08145C21"/>
    <w:rsid w:val="08422688"/>
    <w:rsid w:val="08451199"/>
    <w:rsid w:val="085854ED"/>
    <w:rsid w:val="0879188F"/>
    <w:rsid w:val="08A0354D"/>
    <w:rsid w:val="08CD4C49"/>
    <w:rsid w:val="08D87E7A"/>
    <w:rsid w:val="09114954"/>
    <w:rsid w:val="095A5B83"/>
    <w:rsid w:val="096466E3"/>
    <w:rsid w:val="0968304D"/>
    <w:rsid w:val="09AF3D17"/>
    <w:rsid w:val="0A7809B7"/>
    <w:rsid w:val="0A7B4867"/>
    <w:rsid w:val="0A840954"/>
    <w:rsid w:val="0A9928ED"/>
    <w:rsid w:val="0B61769D"/>
    <w:rsid w:val="0B8C3ECC"/>
    <w:rsid w:val="0B9C639D"/>
    <w:rsid w:val="0BB052B2"/>
    <w:rsid w:val="0BC96196"/>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182D"/>
    <w:rsid w:val="0F89358A"/>
    <w:rsid w:val="0F8C6D51"/>
    <w:rsid w:val="100008D7"/>
    <w:rsid w:val="105B0B5E"/>
    <w:rsid w:val="10953699"/>
    <w:rsid w:val="10C91704"/>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C66DA4"/>
    <w:rsid w:val="16D50C50"/>
    <w:rsid w:val="16E120E1"/>
    <w:rsid w:val="17385A05"/>
    <w:rsid w:val="173B3901"/>
    <w:rsid w:val="176747F9"/>
    <w:rsid w:val="17954A6E"/>
    <w:rsid w:val="17E74993"/>
    <w:rsid w:val="180059E9"/>
    <w:rsid w:val="18170FC9"/>
    <w:rsid w:val="184510FD"/>
    <w:rsid w:val="18EE07A0"/>
    <w:rsid w:val="190648B0"/>
    <w:rsid w:val="19071D6C"/>
    <w:rsid w:val="19D26CD4"/>
    <w:rsid w:val="19E60D19"/>
    <w:rsid w:val="1A3E3450"/>
    <w:rsid w:val="1A9F4AAE"/>
    <w:rsid w:val="1AAF651B"/>
    <w:rsid w:val="1ABD0206"/>
    <w:rsid w:val="1AD807E5"/>
    <w:rsid w:val="1B39345B"/>
    <w:rsid w:val="1B9A1D7A"/>
    <w:rsid w:val="1BFB2A1F"/>
    <w:rsid w:val="1C015D4A"/>
    <w:rsid w:val="1C290ED5"/>
    <w:rsid w:val="1C317E4F"/>
    <w:rsid w:val="1C472464"/>
    <w:rsid w:val="1C7924FF"/>
    <w:rsid w:val="1D22799A"/>
    <w:rsid w:val="1D5C1A72"/>
    <w:rsid w:val="1DAF458D"/>
    <w:rsid w:val="1DEE7936"/>
    <w:rsid w:val="1E086ACE"/>
    <w:rsid w:val="1E62130A"/>
    <w:rsid w:val="1E97358B"/>
    <w:rsid w:val="1EAA4A5F"/>
    <w:rsid w:val="1EE869A7"/>
    <w:rsid w:val="1F214CAE"/>
    <w:rsid w:val="1FA00C71"/>
    <w:rsid w:val="1FA15E62"/>
    <w:rsid w:val="1FDB5C85"/>
    <w:rsid w:val="1FED69B6"/>
    <w:rsid w:val="2064678E"/>
    <w:rsid w:val="20DC1AB9"/>
    <w:rsid w:val="20DD6197"/>
    <w:rsid w:val="212631E0"/>
    <w:rsid w:val="21A53757"/>
    <w:rsid w:val="21E41598"/>
    <w:rsid w:val="221236C6"/>
    <w:rsid w:val="22332CB2"/>
    <w:rsid w:val="224A2D26"/>
    <w:rsid w:val="22D7662C"/>
    <w:rsid w:val="23326B7F"/>
    <w:rsid w:val="234E57A0"/>
    <w:rsid w:val="2380045B"/>
    <w:rsid w:val="23A06EA9"/>
    <w:rsid w:val="23BC04D2"/>
    <w:rsid w:val="23EF1892"/>
    <w:rsid w:val="2483647E"/>
    <w:rsid w:val="24A32D55"/>
    <w:rsid w:val="252277D0"/>
    <w:rsid w:val="25292727"/>
    <w:rsid w:val="252E5CA9"/>
    <w:rsid w:val="256F7692"/>
    <w:rsid w:val="25BA2154"/>
    <w:rsid w:val="25C8773F"/>
    <w:rsid w:val="25CC0734"/>
    <w:rsid w:val="264A7253"/>
    <w:rsid w:val="26572EAA"/>
    <w:rsid w:val="26F0170C"/>
    <w:rsid w:val="27201D62"/>
    <w:rsid w:val="2724431E"/>
    <w:rsid w:val="27286E73"/>
    <w:rsid w:val="27CF2642"/>
    <w:rsid w:val="27E777F5"/>
    <w:rsid w:val="27EA1D4C"/>
    <w:rsid w:val="27EA2E41"/>
    <w:rsid w:val="282459E2"/>
    <w:rsid w:val="283A7FE5"/>
    <w:rsid w:val="285F51FF"/>
    <w:rsid w:val="28DF2665"/>
    <w:rsid w:val="29072599"/>
    <w:rsid w:val="291029F3"/>
    <w:rsid w:val="2914625F"/>
    <w:rsid w:val="29CB58F0"/>
    <w:rsid w:val="2A053397"/>
    <w:rsid w:val="2A145E96"/>
    <w:rsid w:val="2AF5378F"/>
    <w:rsid w:val="2BB94DBF"/>
    <w:rsid w:val="2BD94C3E"/>
    <w:rsid w:val="2C6F314E"/>
    <w:rsid w:val="2CC206BE"/>
    <w:rsid w:val="2D1136DF"/>
    <w:rsid w:val="2D20606D"/>
    <w:rsid w:val="2DB87198"/>
    <w:rsid w:val="2DB93C54"/>
    <w:rsid w:val="2E3D144C"/>
    <w:rsid w:val="2E891204"/>
    <w:rsid w:val="2F2F356B"/>
    <w:rsid w:val="2F3F0A28"/>
    <w:rsid w:val="2FBF7029"/>
    <w:rsid w:val="2FD0187F"/>
    <w:rsid w:val="2FD27414"/>
    <w:rsid w:val="2FFE4BB0"/>
    <w:rsid w:val="300E7B60"/>
    <w:rsid w:val="300F6E18"/>
    <w:rsid w:val="304838F0"/>
    <w:rsid w:val="30862F5F"/>
    <w:rsid w:val="314029C9"/>
    <w:rsid w:val="31C63837"/>
    <w:rsid w:val="31C82E39"/>
    <w:rsid w:val="32601BAD"/>
    <w:rsid w:val="329F6389"/>
    <w:rsid w:val="3389023A"/>
    <w:rsid w:val="33CB74FA"/>
    <w:rsid w:val="3405771B"/>
    <w:rsid w:val="343642F2"/>
    <w:rsid w:val="343F3010"/>
    <w:rsid w:val="345D0A00"/>
    <w:rsid w:val="34713BFD"/>
    <w:rsid w:val="34C13589"/>
    <w:rsid w:val="353369E3"/>
    <w:rsid w:val="35E00D72"/>
    <w:rsid w:val="36965B9D"/>
    <w:rsid w:val="36C549FD"/>
    <w:rsid w:val="37A755DD"/>
    <w:rsid w:val="37F94FA0"/>
    <w:rsid w:val="380D3381"/>
    <w:rsid w:val="38115B1F"/>
    <w:rsid w:val="382440BC"/>
    <w:rsid w:val="385E3AC3"/>
    <w:rsid w:val="387D6B9E"/>
    <w:rsid w:val="38B75FF0"/>
    <w:rsid w:val="38D45016"/>
    <w:rsid w:val="38D90432"/>
    <w:rsid w:val="3914510A"/>
    <w:rsid w:val="3926770B"/>
    <w:rsid w:val="398D3668"/>
    <w:rsid w:val="39DA0497"/>
    <w:rsid w:val="3A893816"/>
    <w:rsid w:val="3A893B6D"/>
    <w:rsid w:val="3AD1763A"/>
    <w:rsid w:val="3B6716E3"/>
    <w:rsid w:val="3B6C6B2D"/>
    <w:rsid w:val="3B731EE0"/>
    <w:rsid w:val="3C0E7963"/>
    <w:rsid w:val="3C242659"/>
    <w:rsid w:val="3C96719C"/>
    <w:rsid w:val="3CA72BE8"/>
    <w:rsid w:val="3CAB6CCE"/>
    <w:rsid w:val="3CF37F8C"/>
    <w:rsid w:val="3D137554"/>
    <w:rsid w:val="3D5275AC"/>
    <w:rsid w:val="3DCC2473"/>
    <w:rsid w:val="3DEB0883"/>
    <w:rsid w:val="3E2527BF"/>
    <w:rsid w:val="3E731662"/>
    <w:rsid w:val="3E8168DD"/>
    <w:rsid w:val="3EA7725F"/>
    <w:rsid w:val="3EB03713"/>
    <w:rsid w:val="3EBF1A11"/>
    <w:rsid w:val="3EC52607"/>
    <w:rsid w:val="3EEC6CEF"/>
    <w:rsid w:val="3F183429"/>
    <w:rsid w:val="3F322F61"/>
    <w:rsid w:val="3FB77A1D"/>
    <w:rsid w:val="3FDC3674"/>
    <w:rsid w:val="3FED7F8A"/>
    <w:rsid w:val="40094AEF"/>
    <w:rsid w:val="405470BD"/>
    <w:rsid w:val="4062679A"/>
    <w:rsid w:val="40794A29"/>
    <w:rsid w:val="40834692"/>
    <w:rsid w:val="41431AD5"/>
    <w:rsid w:val="414B3C0F"/>
    <w:rsid w:val="417C1CE7"/>
    <w:rsid w:val="41900018"/>
    <w:rsid w:val="41944406"/>
    <w:rsid w:val="41C767B7"/>
    <w:rsid w:val="41CE128F"/>
    <w:rsid w:val="41DA6F12"/>
    <w:rsid w:val="4211768D"/>
    <w:rsid w:val="42171FB1"/>
    <w:rsid w:val="434E6957"/>
    <w:rsid w:val="43BA0E31"/>
    <w:rsid w:val="43C15147"/>
    <w:rsid w:val="43E14DD2"/>
    <w:rsid w:val="43F800E9"/>
    <w:rsid w:val="443A7E4B"/>
    <w:rsid w:val="448F4431"/>
    <w:rsid w:val="44BE5170"/>
    <w:rsid w:val="450B528B"/>
    <w:rsid w:val="452F5B3A"/>
    <w:rsid w:val="454E7FD2"/>
    <w:rsid w:val="45574526"/>
    <w:rsid w:val="46061BDC"/>
    <w:rsid w:val="461404F8"/>
    <w:rsid w:val="46413018"/>
    <w:rsid w:val="464B7E04"/>
    <w:rsid w:val="468041AA"/>
    <w:rsid w:val="468123C6"/>
    <w:rsid w:val="46901EEE"/>
    <w:rsid w:val="469C74D2"/>
    <w:rsid w:val="47445515"/>
    <w:rsid w:val="474B4782"/>
    <w:rsid w:val="4796523D"/>
    <w:rsid w:val="47D90D14"/>
    <w:rsid w:val="48387FB0"/>
    <w:rsid w:val="483A6114"/>
    <w:rsid w:val="488727DB"/>
    <w:rsid w:val="48B66FAE"/>
    <w:rsid w:val="48B82268"/>
    <w:rsid w:val="48C354B3"/>
    <w:rsid w:val="493D58B5"/>
    <w:rsid w:val="494A7A04"/>
    <w:rsid w:val="494D1B15"/>
    <w:rsid w:val="49D50418"/>
    <w:rsid w:val="4A0A26D2"/>
    <w:rsid w:val="4A2019A5"/>
    <w:rsid w:val="4A241A0B"/>
    <w:rsid w:val="4A565213"/>
    <w:rsid w:val="4A701FD8"/>
    <w:rsid w:val="4A7B2875"/>
    <w:rsid w:val="4A934476"/>
    <w:rsid w:val="4AAA220A"/>
    <w:rsid w:val="4AE12E67"/>
    <w:rsid w:val="4B4C0111"/>
    <w:rsid w:val="4B8553A9"/>
    <w:rsid w:val="4BC612ED"/>
    <w:rsid w:val="4BDB3730"/>
    <w:rsid w:val="4C200F7A"/>
    <w:rsid w:val="4CEE3180"/>
    <w:rsid w:val="4D0F4AF6"/>
    <w:rsid w:val="4DF94F37"/>
    <w:rsid w:val="4E0A1DD5"/>
    <w:rsid w:val="4E0E081E"/>
    <w:rsid w:val="4E3160E5"/>
    <w:rsid w:val="4E4D37AF"/>
    <w:rsid w:val="4E8C6496"/>
    <w:rsid w:val="4ED94AA2"/>
    <w:rsid w:val="4EFB379B"/>
    <w:rsid w:val="4EFD18DE"/>
    <w:rsid w:val="4F144236"/>
    <w:rsid w:val="4F663C87"/>
    <w:rsid w:val="4F7E29A8"/>
    <w:rsid w:val="4F9E1FFC"/>
    <w:rsid w:val="4FD376FB"/>
    <w:rsid w:val="501B02B8"/>
    <w:rsid w:val="50234C35"/>
    <w:rsid w:val="50447CC2"/>
    <w:rsid w:val="50874A7C"/>
    <w:rsid w:val="50895EE7"/>
    <w:rsid w:val="50921B9D"/>
    <w:rsid w:val="50D16158"/>
    <w:rsid w:val="50DB5F45"/>
    <w:rsid w:val="51025EB1"/>
    <w:rsid w:val="51141503"/>
    <w:rsid w:val="51206FDC"/>
    <w:rsid w:val="515B35D0"/>
    <w:rsid w:val="518D0ED5"/>
    <w:rsid w:val="525C687F"/>
    <w:rsid w:val="52F647F7"/>
    <w:rsid w:val="52F92565"/>
    <w:rsid w:val="53D03877"/>
    <w:rsid w:val="542F73CA"/>
    <w:rsid w:val="5430786D"/>
    <w:rsid w:val="54C811C0"/>
    <w:rsid w:val="5514004F"/>
    <w:rsid w:val="55266BB4"/>
    <w:rsid w:val="55305AD4"/>
    <w:rsid w:val="556A442D"/>
    <w:rsid w:val="559324A3"/>
    <w:rsid w:val="55DA564E"/>
    <w:rsid w:val="5604127D"/>
    <w:rsid w:val="56122470"/>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132BFF"/>
    <w:rsid w:val="5CBB0CE2"/>
    <w:rsid w:val="5CC17177"/>
    <w:rsid w:val="5CF306BC"/>
    <w:rsid w:val="5CFA3B78"/>
    <w:rsid w:val="5D3F3D64"/>
    <w:rsid w:val="5D833043"/>
    <w:rsid w:val="5DD92690"/>
    <w:rsid w:val="5DDB1CFD"/>
    <w:rsid w:val="5E7E6D93"/>
    <w:rsid w:val="5ED44800"/>
    <w:rsid w:val="5F350BDE"/>
    <w:rsid w:val="5F61632C"/>
    <w:rsid w:val="5F621C42"/>
    <w:rsid w:val="5FA17648"/>
    <w:rsid w:val="5FD16063"/>
    <w:rsid w:val="5FE705CB"/>
    <w:rsid w:val="603D5080"/>
    <w:rsid w:val="60D0261B"/>
    <w:rsid w:val="618E3791"/>
    <w:rsid w:val="61947DCA"/>
    <w:rsid w:val="61A46A97"/>
    <w:rsid w:val="61D1382F"/>
    <w:rsid w:val="61F114A2"/>
    <w:rsid w:val="62512BB4"/>
    <w:rsid w:val="625D7D1A"/>
    <w:rsid w:val="62DD7D21"/>
    <w:rsid w:val="633137EC"/>
    <w:rsid w:val="637D586B"/>
    <w:rsid w:val="63A5560B"/>
    <w:rsid w:val="63BC4F72"/>
    <w:rsid w:val="63E9091F"/>
    <w:rsid w:val="641275CB"/>
    <w:rsid w:val="642036A4"/>
    <w:rsid w:val="64286E64"/>
    <w:rsid w:val="64322AF9"/>
    <w:rsid w:val="64D6010D"/>
    <w:rsid w:val="64D82665"/>
    <w:rsid w:val="64E47C96"/>
    <w:rsid w:val="651E5741"/>
    <w:rsid w:val="65852830"/>
    <w:rsid w:val="658A4877"/>
    <w:rsid w:val="65A00902"/>
    <w:rsid w:val="65AC6EDD"/>
    <w:rsid w:val="65D97752"/>
    <w:rsid w:val="65E37EE6"/>
    <w:rsid w:val="66085536"/>
    <w:rsid w:val="66093921"/>
    <w:rsid w:val="66105BF7"/>
    <w:rsid w:val="66150023"/>
    <w:rsid w:val="6628010D"/>
    <w:rsid w:val="66561E55"/>
    <w:rsid w:val="669B4528"/>
    <w:rsid w:val="66CC12D7"/>
    <w:rsid w:val="66E51791"/>
    <w:rsid w:val="67134CEF"/>
    <w:rsid w:val="671F1ABD"/>
    <w:rsid w:val="67521A59"/>
    <w:rsid w:val="67C304AB"/>
    <w:rsid w:val="683F0658"/>
    <w:rsid w:val="689C6793"/>
    <w:rsid w:val="68DB0208"/>
    <w:rsid w:val="68FB170C"/>
    <w:rsid w:val="691B3D98"/>
    <w:rsid w:val="693748F0"/>
    <w:rsid w:val="69846A0E"/>
    <w:rsid w:val="69927306"/>
    <w:rsid w:val="69AD798C"/>
    <w:rsid w:val="69D005C0"/>
    <w:rsid w:val="69D80B96"/>
    <w:rsid w:val="6A0D37AA"/>
    <w:rsid w:val="6A3A3991"/>
    <w:rsid w:val="6AA32B41"/>
    <w:rsid w:val="6B68175F"/>
    <w:rsid w:val="6BCB45F9"/>
    <w:rsid w:val="6BEC769C"/>
    <w:rsid w:val="6BF407F3"/>
    <w:rsid w:val="6BFD799F"/>
    <w:rsid w:val="6C4A2E5A"/>
    <w:rsid w:val="6C8138D0"/>
    <w:rsid w:val="6CE92D00"/>
    <w:rsid w:val="6CEF0725"/>
    <w:rsid w:val="6D4B2604"/>
    <w:rsid w:val="6D8030E4"/>
    <w:rsid w:val="6E096BA9"/>
    <w:rsid w:val="6E0E35C4"/>
    <w:rsid w:val="6E0F7A08"/>
    <w:rsid w:val="6E3947F5"/>
    <w:rsid w:val="6E9C74ED"/>
    <w:rsid w:val="6EF72976"/>
    <w:rsid w:val="6F795A80"/>
    <w:rsid w:val="6F7C1D2E"/>
    <w:rsid w:val="6F83265B"/>
    <w:rsid w:val="6F8E0407"/>
    <w:rsid w:val="6FD978CF"/>
    <w:rsid w:val="6FDD069F"/>
    <w:rsid w:val="70033130"/>
    <w:rsid w:val="702B4D16"/>
    <w:rsid w:val="70AA6621"/>
    <w:rsid w:val="7111480F"/>
    <w:rsid w:val="71261F49"/>
    <w:rsid w:val="712E6956"/>
    <w:rsid w:val="713644A7"/>
    <w:rsid w:val="71473612"/>
    <w:rsid w:val="71504F32"/>
    <w:rsid w:val="7152309F"/>
    <w:rsid w:val="718F7F65"/>
    <w:rsid w:val="71947B38"/>
    <w:rsid w:val="71DB0B49"/>
    <w:rsid w:val="727B234E"/>
    <w:rsid w:val="72D068C7"/>
    <w:rsid w:val="72E42ED8"/>
    <w:rsid w:val="735F4CB9"/>
    <w:rsid w:val="73674C62"/>
    <w:rsid w:val="73845865"/>
    <w:rsid w:val="739B6D9E"/>
    <w:rsid w:val="73BC1D76"/>
    <w:rsid w:val="73FB6630"/>
    <w:rsid w:val="741D19E9"/>
    <w:rsid w:val="748D790E"/>
    <w:rsid w:val="749820CC"/>
    <w:rsid w:val="74A1364B"/>
    <w:rsid w:val="74CE04EC"/>
    <w:rsid w:val="74E76DCD"/>
    <w:rsid w:val="751D7C0A"/>
    <w:rsid w:val="75722D56"/>
    <w:rsid w:val="75B53BFD"/>
    <w:rsid w:val="75DB5477"/>
    <w:rsid w:val="75FC6AC3"/>
    <w:rsid w:val="7616619B"/>
    <w:rsid w:val="76660D7C"/>
    <w:rsid w:val="7669756E"/>
    <w:rsid w:val="766C5968"/>
    <w:rsid w:val="769B2DA3"/>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6D69C7"/>
    <w:rsid w:val="797339C3"/>
    <w:rsid w:val="79B65DE9"/>
    <w:rsid w:val="79D57D57"/>
    <w:rsid w:val="79F00650"/>
    <w:rsid w:val="7A6242BF"/>
    <w:rsid w:val="7A794513"/>
    <w:rsid w:val="7AE952D2"/>
    <w:rsid w:val="7BA97DDE"/>
    <w:rsid w:val="7BEF4460"/>
    <w:rsid w:val="7C976D69"/>
    <w:rsid w:val="7CD752DA"/>
    <w:rsid w:val="7CDE40AB"/>
    <w:rsid w:val="7CF057E2"/>
    <w:rsid w:val="7D1548B5"/>
    <w:rsid w:val="7D355F3C"/>
    <w:rsid w:val="7DD47E35"/>
    <w:rsid w:val="7DF84014"/>
    <w:rsid w:val="7E207949"/>
    <w:rsid w:val="7E334E7C"/>
    <w:rsid w:val="7E5C0A47"/>
    <w:rsid w:val="7E670C75"/>
    <w:rsid w:val="7E6967F4"/>
    <w:rsid w:val="7E807099"/>
    <w:rsid w:val="7EE24272"/>
    <w:rsid w:val="7EEA6053"/>
    <w:rsid w:val="7F483F1E"/>
    <w:rsid w:val="7F487C04"/>
    <w:rsid w:val="7FB10EEB"/>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5465</Words>
  <Characters>6040</Characters>
  <Lines>0</Lines>
  <Paragraphs>0</Paragraphs>
  <TotalTime>0</TotalTime>
  <ScaleCrop>false</ScaleCrop>
  <LinksUpToDate>false</LinksUpToDate>
  <CharactersWithSpaces>6055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2024-09-08T01:02:02Z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