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7209F7">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14:paraId="46F2A16D">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128E650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伊宁市国土资源执法监察大队</w:t>
      </w:r>
    </w:p>
    <w:p w14:paraId="70DFD773">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14:paraId="0232860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14:paraId="31E52DD6">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621EDD96">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69869CC2">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29EB721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412FFDE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781D61A8">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70500DE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78D0E21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55E453B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3E15299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4793603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7A10B77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020EBFD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128CE6B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25DEFC4A">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611D911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6F689D0D">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739678CD">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581FB145">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7EBD8C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6518B7E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42F1A077">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1751D94B">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1CF3EA7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20C15C9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2B9C21D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5712067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4D3882D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6CF179F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2B5A745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007FD2F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538613A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07125A9F">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17B053B6">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4CED255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14:paraId="24D5EEC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14:paraId="501DAF4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sz w:val="32"/>
          <w:szCs w:val="32"/>
        </w:rPr>
      </w:pPr>
      <w:bookmarkStart w:id="4" w:name="_Toc31238"/>
      <w:bookmarkStart w:id="5" w:name="_Toc2151"/>
      <w:r>
        <w:rPr>
          <w:rFonts w:ascii="仿宋_GB2312" w:eastAsia="仿宋_GB2312"/>
          <w:sz w:val="32"/>
          <w:szCs w:val="32"/>
        </w:rPr>
        <w:t>伊宁市国土资源执法监察大队，为自治区国土资源执法监察总队副科级单位，参照公务员制度管理。自治区以下国土资源执法监察机构实行垂直管理，统一履行伊宁市国土资源执法监察职能。</w:t>
      </w:r>
      <w:r>
        <w:rPr>
          <w:rFonts w:ascii="仿宋_GB2312" w:eastAsia="仿宋_GB2312"/>
          <w:sz w:val="32"/>
          <w:szCs w:val="32"/>
        </w:rPr>
        <w:br w:type="textWrapping"/>
      </w:r>
      <w:r>
        <w:rPr>
          <w:rFonts w:ascii="仿宋_GB2312" w:eastAsia="仿宋_GB2312"/>
          <w:sz w:val="32"/>
          <w:szCs w:val="32"/>
        </w:rPr>
        <w:t>　　1、宣传和贯彻执行国家、自治区有关土地、矿产资源的法律、法规、规章和政策；</w:t>
      </w:r>
      <w:r>
        <w:rPr>
          <w:rFonts w:ascii="仿宋_GB2312" w:eastAsia="仿宋_GB2312"/>
          <w:sz w:val="32"/>
          <w:szCs w:val="32"/>
        </w:rPr>
        <w:br w:type="textWrapping"/>
      </w:r>
      <w:r>
        <w:rPr>
          <w:rFonts w:ascii="仿宋_GB2312" w:eastAsia="仿宋_GB2312"/>
          <w:sz w:val="32"/>
          <w:szCs w:val="32"/>
        </w:rPr>
        <w:t>　　2、组织和实施伊宁市执法土地、矿产资源法律、法规、规章情况的巡查，及时发现和制止土地、矿产资源违法行为。</w:t>
      </w:r>
      <w:r>
        <w:rPr>
          <w:rFonts w:ascii="仿宋_GB2312" w:eastAsia="仿宋_GB2312"/>
          <w:sz w:val="32"/>
          <w:szCs w:val="32"/>
        </w:rPr>
        <w:br w:type="textWrapping"/>
      </w:r>
      <w:r>
        <w:rPr>
          <w:rFonts w:ascii="仿宋_GB2312" w:eastAsia="仿宋_GB2312"/>
          <w:sz w:val="32"/>
          <w:szCs w:val="32"/>
        </w:rPr>
        <w:t>　　3、依法组织和实施伊宁市重大土地、矿产资源违法案件的调查、取证、现场勘验工作，并提交伊宁市土地、矿产资源重大违法案件调查报告和查处意见。</w:t>
      </w:r>
      <w:r>
        <w:rPr>
          <w:rFonts w:ascii="仿宋_GB2312" w:eastAsia="仿宋_GB2312"/>
          <w:sz w:val="32"/>
          <w:szCs w:val="32"/>
        </w:rPr>
        <w:br w:type="textWrapping"/>
      </w:r>
      <w:r>
        <w:rPr>
          <w:rFonts w:ascii="仿宋_GB2312" w:eastAsia="仿宋_GB2312"/>
          <w:sz w:val="32"/>
          <w:szCs w:val="32"/>
        </w:rPr>
        <w:t>　　4、负责伊宁市土地、矿产资源违法案件的查处。</w:t>
      </w:r>
      <w:r>
        <w:rPr>
          <w:rFonts w:ascii="仿宋_GB2312" w:eastAsia="仿宋_GB2312"/>
          <w:sz w:val="32"/>
          <w:szCs w:val="32"/>
        </w:rPr>
        <w:br w:type="textWrapping"/>
      </w:r>
      <w:r>
        <w:rPr>
          <w:rFonts w:ascii="仿宋_GB2312" w:eastAsia="仿宋_GB2312"/>
          <w:sz w:val="32"/>
          <w:szCs w:val="32"/>
        </w:rPr>
        <w:t>　　5、负责伊宁市国土资源执法监察队伍建设，统一管理伊宁市国土资源执法监察机构的人员和经费</w:t>
      </w:r>
      <w:r>
        <w:rPr>
          <w:rFonts w:hint="eastAsia" w:ascii="仿宋_GB2312" w:eastAsia="仿宋_GB2312"/>
          <w:sz w:val="32"/>
          <w:szCs w:val="32"/>
        </w:rPr>
        <w:t>。</w:t>
      </w:r>
    </w:p>
    <w:p w14:paraId="466910F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14:paraId="1CFD97F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sz w:val="32"/>
          <w:szCs w:val="32"/>
        </w:rPr>
        <w:t>新疆维吾尔自治区伊犁哈萨克自治州</w:t>
      </w:r>
      <w:r>
        <w:rPr>
          <w:rFonts w:hint="eastAsia" w:ascii="仿宋_GB2312" w:eastAsia="仿宋_GB2312"/>
          <w:color w:val="auto"/>
          <w:sz w:val="32"/>
          <w:szCs w:val="32"/>
          <w:highlight w:val="none"/>
          <w:lang w:val="en-US" w:eastAsia="zh-CN"/>
        </w:rPr>
        <w:t>伊宁市国土资源执法监察大队</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9</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en-US" w:eastAsia="zh-CN"/>
        </w:rPr>
        <w:t>5</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4</w:t>
      </w:r>
      <w:r>
        <w:rPr>
          <w:rFonts w:hint="eastAsia" w:ascii="仿宋_GB2312" w:eastAsia="仿宋_GB2312"/>
          <w:color w:val="auto"/>
          <w:sz w:val="32"/>
          <w:szCs w:val="32"/>
          <w:highlight w:val="none"/>
        </w:rPr>
        <w:t>人。</w:t>
      </w:r>
    </w:p>
    <w:p w14:paraId="62BAFF4A">
      <w:pPr>
        <w:ind w:firstLine="640" w:firstLineChars="200"/>
        <w:rPr>
          <w:rFonts w:hint="eastAsia" w:ascii="黑体" w:hAnsi="黑体" w:eastAsia="黑体"/>
          <w:color w:val="auto"/>
          <w:sz w:val="32"/>
          <w:szCs w:val="32"/>
          <w:highlight w:val="none"/>
        </w:rPr>
      </w:pPr>
      <w:bookmarkStart w:id="6" w:name="_Toc29374"/>
      <w:bookmarkStart w:id="7" w:name="_Toc3092"/>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1</w:t>
      </w:r>
      <w:r>
        <w:rPr>
          <w:rFonts w:hint="eastAsia" w:ascii="仿宋_GB2312" w:hAnsi="黑体" w:eastAsia="仿宋_GB2312" w:cs="宋体"/>
          <w:bCs/>
          <w:kern w:val="0"/>
          <w:sz w:val="32"/>
          <w:szCs w:val="32"/>
        </w:rPr>
        <w:t>个处室，分别是：综合办公</w:t>
      </w:r>
      <w:r>
        <w:rPr>
          <w:rFonts w:hint="eastAsia" w:ascii="仿宋_GB2312" w:hAnsi="黑体" w:eastAsia="仿宋_GB2312" w:cs="宋体"/>
          <w:bCs/>
          <w:kern w:val="0"/>
          <w:sz w:val="32"/>
          <w:szCs w:val="32"/>
          <w:lang w:eastAsia="zh-CN"/>
        </w:rPr>
        <w:t>室。</w:t>
      </w:r>
    </w:p>
    <w:p w14:paraId="78D4D1B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14:paraId="7DB2AE1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14:paraId="64D9A37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124.38万元，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124.38万元，使用非财政拨款结余0.00万元，年初结转和结余0.00万元。</w:t>
      </w:r>
    </w:p>
    <w:p w14:paraId="69F8AD7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124.38万元，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124.38万元，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14:paraId="75B545FE">
      <w:pPr>
        <w:ind w:firstLine="640" w:firstLineChars="200"/>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减少0.15万元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下降0.12%</w:t>
      </w:r>
      <w:r>
        <w:rPr>
          <w:rFonts w:hint="eastAsia" w:ascii="仿宋_GB2312" w:eastAsia="仿宋_GB2312"/>
          <w:color w:val="auto"/>
          <w:spacing w:val="0"/>
          <w:sz w:val="32"/>
          <w:szCs w:val="32"/>
          <w:highlight w:val="none"/>
          <w:lang w:eastAsia="zh-CN"/>
        </w:rPr>
        <w:t>，主要原因是：</w:t>
      </w:r>
      <w:r>
        <w:rPr>
          <w:rFonts w:hint="default" w:ascii="仿宋_GB2312" w:eastAsia="仿宋_GB2312"/>
          <w:color w:val="auto"/>
          <w:sz w:val="32"/>
          <w:szCs w:val="32"/>
          <w:highlight w:val="none"/>
        </w:rPr>
        <w:t>2022年度年初有上年结余资金，本年度年初无结余资金。</w:t>
      </w:r>
    </w:p>
    <w:p w14:paraId="604B8CE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14:paraId="714DFCE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124.38</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124.37</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14:paraId="3C84631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14:paraId="4710510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本年支出124.38万元，其中：基本支出104.38万元，占83.92%；项目支出20.00万元，占16.08%；上缴上级支出0.00万元，占0.00%；经营支出0.00万元，占0.00%；对附属单位补助支出0.00万元，占0.00%。</w:t>
      </w:r>
    </w:p>
    <w:p w14:paraId="1D62B77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14:paraId="68A8058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124.37</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124.37</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124.37</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124.37</w:t>
      </w:r>
      <w:r>
        <w:rPr>
          <w:rFonts w:hint="eastAsia" w:ascii="仿宋_GB2312" w:eastAsia="仿宋_GB2312"/>
          <w:color w:val="auto"/>
          <w:spacing w:val="0"/>
          <w:sz w:val="32"/>
          <w:szCs w:val="32"/>
          <w:highlight w:val="none"/>
          <w:lang w:eastAsia="zh-CN"/>
        </w:rPr>
        <w:t>万元。</w:t>
      </w:r>
    </w:p>
    <w:p w14:paraId="04CA013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减少0.15万元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下降0.12%，</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z w:val="32"/>
          <w:szCs w:val="32"/>
          <w:highlight w:val="none"/>
          <w:lang w:val="en-US" w:eastAsia="zh-CN"/>
        </w:rPr>
        <w:t>2022年度年初有上年结余资金，本年度年初无结余资金</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113.77</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124.37</w:t>
      </w:r>
      <w:r>
        <w:rPr>
          <w:rFonts w:hint="eastAsia" w:ascii="仿宋_GB2312" w:eastAsia="仿宋_GB2312"/>
          <w:color w:val="auto"/>
          <w:spacing w:val="0"/>
          <w:sz w:val="32"/>
          <w:szCs w:val="32"/>
          <w:highlight w:val="none"/>
          <w:lang w:eastAsia="zh-CN"/>
        </w:rPr>
        <w:t>万元，预决算差异率9.32%，主要原因是：人员工资增加，追加绩效经费。</w:t>
      </w:r>
    </w:p>
    <w:p w14:paraId="6291FA5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14:paraId="76A6C2E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14:paraId="4730114C">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2023年度一般公共预算财政拨款支出124.37万元，占本年支出合计的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减少0.15万元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下降0.12%，</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执法办案业务</w:t>
      </w:r>
      <w:r>
        <w:rPr>
          <w:rFonts w:hint="eastAsia" w:ascii="仿宋_GB2312" w:eastAsia="仿宋_GB2312"/>
          <w:sz w:val="32"/>
          <w:szCs w:val="32"/>
          <w:lang w:eastAsia="zh-CN"/>
        </w:rPr>
        <w:t>经费减少</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113.77</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124.37</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9.32%</w:t>
      </w:r>
      <w:r>
        <w:rPr>
          <w:rFonts w:hint="eastAsia" w:ascii="仿宋_GB2312" w:eastAsia="仿宋_GB2312"/>
          <w:color w:val="auto"/>
          <w:spacing w:val="0"/>
          <w:sz w:val="32"/>
          <w:szCs w:val="32"/>
          <w:highlight w:val="none"/>
          <w:lang w:eastAsia="zh-CN"/>
        </w:rPr>
        <w:t>，主要原因是：人员工资增加，追加绩效经费。</w:t>
      </w:r>
    </w:p>
    <w:p w14:paraId="7355A02E">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2C870EAE">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22.40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18.01</w:t>
      </w:r>
      <w:r>
        <w:rPr>
          <w:rFonts w:hint="default" w:ascii="仿宋_GB2312" w:hAnsi="Times New Roman" w:eastAsia="仿宋_GB2312" w:cs="Times New Roman"/>
          <w:color w:val="auto"/>
          <w:spacing w:val="0"/>
          <w:kern w:val="2"/>
          <w:sz w:val="32"/>
          <w:szCs w:val="32"/>
          <w:highlight w:val="none"/>
          <w:lang w:val="zh-CN" w:eastAsia="zh-CN" w:bidi="ar-SA"/>
        </w:rPr>
        <w:t>%；</w:t>
      </w:r>
    </w:p>
    <w:p w14:paraId="2D69ABA3">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7.70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6.19</w:t>
      </w:r>
      <w:r>
        <w:rPr>
          <w:rFonts w:hint="default" w:ascii="仿宋_GB2312" w:hAnsi="Times New Roman" w:eastAsia="仿宋_GB2312" w:cs="Times New Roman"/>
          <w:color w:val="auto"/>
          <w:spacing w:val="0"/>
          <w:kern w:val="2"/>
          <w:sz w:val="32"/>
          <w:szCs w:val="32"/>
          <w:highlight w:val="none"/>
          <w:lang w:val="zh-CN" w:eastAsia="zh-CN" w:bidi="ar-SA"/>
        </w:rPr>
        <w:t>%；</w:t>
      </w:r>
    </w:p>
    <w:p w14:paraId="54050246">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eastAsia" w:ascii="仿宋_GB2312" w:hAnsi="Times New Roman" w:eastAsia="仿宋_GB2312" w:cs="Times New Roman"/>
          <w:color w:val="auto"/>
          <w:spacing w:val="0"/>
          <w:kern w:val="2"/>
          <w:sz w:val="32"/>
          <w:szCs w:val="32"/>
          <w:highlight w:val="none"/>
          <w:lang w:val="zh-CN" w:eastAsia="zh-CN" w:bidi="ar-SA"/>
        </w:rPr>
        <w:t>88.12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70.85</w:t>
      </w:r>
      <w:r>
        <w:rPr>
          <w:rFonts w:hint="default" w:ascii="仿宋_GB2312" w:hAnsi="Times New Roman" w:eastAsia="仿宋_GB2312" w:cs="Times New Roman"/>
          <w:color w:val="auto"/>
          <w:spacing w:val="0"/>
          <w:kern w:val="2"/>
          <w:sz w:val="32"/>
          <w:szCs w:val="32"/>
          <w:highlight w:val="none"/>
          <w:lang w:val="zh-CN" w:eastAsia="zh-CN" w:bidi="ar-SA"/>
        </w:rPr>
        <w:t>%；</w:t>
      </w:r>
    </w:p>
    <w:p w14:paraId="6CE0A80C">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6.15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4.94</w:t>
      </w:r>
      <w:r>
        <w:rPr>
          <w:rFonts w:hint="default" w:ascii="仿宋_GB2312" w:hAnsi="Times New Roman" w:eastAsia="仿宋_GB2312" w:cs="Times New Roman"/>
          <w:color w:val="auto"/>
          <w:spacing w:val="0"/>
          <w:kern w:val="2"/>
          <w:sz w:val="32"/>
          <w:szCs w:val="32"/>
          <w:highlight w:val="none"/>
          <w:lang w:val="zh-CN" w:eastAsia="zh-CN" w:bidi="ar-SA"/>
        </w:rPr>
        <w:t>%；</w:t>
      </w:r>
    </w:p>
    <w:p w14:paraId="6CF78C5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14:paraId="6759111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1.卫生健康支出（类）行政事业单位医疗（款）行政单位医疗（项）:支出决算数为4.12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0.98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31.42%，主要原因是：</w:t>
      </w:r>
      <w:r>
        <w:rPr>
          <w:rFonts w:hint="eastAsia" w:ascii="仿宋_GB2312" w:eastAsia="仿宋_GB2312"/>
          <w:sz w:val="32"/>
          <w:szCs w:val="32"/>
        </w:rPr>
        <w:t>本年</w:t>
      </w:r>
      <w:r>
        <w:rPr>
          <w:rFonts w:hint="default" w:ascii="仿宋_GB2312" w:eastAsia="仿宋_GB2312"/>
          <w:sz w:val="32"/>
          <w:szCs w:val="32"/>
        </w:rPr>
        <w:t>度</w:t>
      </w:r>
      <w:r>
        <w:rPr>
          <w:rFonts w:hint="eastAsia" w:ascii="仿宋_GB2312" w:eastAsia="仿宋_GB2312"/>
          <w:sz w:val="32"/>
          <w:szCs w:val="32"/>
          <w:lang w:eastAsia="zh-CN"/>
        </w:rPr>
        <w:t>工资增加，社保基数变更</w:t>
      </w:r>
      <w:r>
        <w:rPr>
          <w:rFonts w:hint="eastAsia" w:ascii="仿宋_GB2312" w:eastAsia="仿宋_GB2312"/>
          <w:sz w:val="32"/>
          <w:szCs w:val="32"/>
        </w:rPr>
        <w:t>，医疗费支出增加</w:t>
      </w:r>
      <w:r>
        <w:rPr>
          <w:rFonts w:hint="eastAsia" w:eastAsia="仿宋_GB2312" w:cs="Times New Roman"/>
          <w:color w:val="auto"/>
          <w:kern w:val="2"/>
          <w:sz w:val="32"/>
          <w:szCs w:val="32"/>
          <w:highlight w:val="none"/>
          <w:lang w:val="zh-CN" w:eastAsia="zh-CN" w:bidi="ar-SA"/>
        </w:rPr>
        <w:t>。</w:t>
      </w:r>
    </w:p>
    <w:p w14:paraId="57E7939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2.卫生健康支出（类）行政事业单位医疗（款）公务员医疗补助（项）:支出决算数为3.59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1.15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47.08%，主要原因是：</w:t>
      </w:r>
      <w:r>
        <w:rPr>
          <w:rFonts w:hint="eastAsia" w:ascii="仿宋_GB2312" w:eastAsia="仿宋_GB2312"/>
          <w:sz w:val="32"/>
          <w:szCs w:val="32"/>
        </w:rPr>
        <w:t>本年</w:t>
      </w:r>
      <w:r>
        <w:rPr>
          <w:rFonts w:hint="default" w:ascii="仿宋_GB2312" w:eastAsia="仿宋_GB2312"/>
          <w:sz w:val="32"/>
          <w:szCs w:val="32"/>
        </w:rPr>
        <w:t>度</w:t>
      </w:r>
      <w:r>
        <w:rPr>
          <w:rFonts w:hint="eastAsia" w:ascii="仿宋_GB2312" w:eastAsia="仿宋_GB2312"/>
          <w:sz w:val="32"/>
          <w:szCs w:val="32"/>
          <w:lang w:eastAsia="zh-CN"/>
        </w:rPr>
        <w:t>工资增加，社保基数变更</w:t>
      </w:r>
      <w:r>
        <w:rPr>
          <w:rFonts w:hint="eastAsia" w:ascii="仿宋_GB2312" w:eastAsia="仿宋_GB2312"/>
          <w:sz w:val="32"/>
          <w:szCs w:val="32"/>
        </w:rPr>
        <w:t>，医疗费支出增加</w:t>
      </w:r>
      <w:r>
        <w:rPr>
          <w:rFonts w:hint="eastAsia" w:eastAsia="仿宋_GB2312" w:cs="Times New Roman"/>
          <w:color w:val="auto"/>
          <w:kern w:val="2"/>
          <w:sz w:val="32"/>
          <w:szCs w:val="32"/>
          <w:highlight w:val="none"/>
          <w:lang w:val="zh-CN" w:eastAsia="zh-CN" w:bidi="ar-SA"/>
        </w:rPr>
        <w:t>。</w:t>
      </w:r>
    </w:p>
    <w:p w14:paraId="397C158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eastAsia="仿宋_GB2312"/>
          <w:color w:val="auto"/>
          <w:sz w:val="32"/>
          <w:szCs w:val="32"/>
          <w:highlight w:val="none"/>
          <w:lang w:eastAsia="zh-CN"/>
        </w:rPr>
      </w:pPr>
      <w:r>
        <w:rPr>
          <w:rFonts w:hint="eastAsia" w:ascii="Times New Roman" w:hAnsi="Times New Roman" w:eastAsia="仿宋_GB2312" w:cs="Times New Roman"/>
          <w:color w:val="auto"/>
          <w:kern w:val="2"/>
          <w:sz w:val="32"/>
          <w:szCs w:val="32"/>
          <w:highlight w:val="none"/>
          <w:lang w:val="en-US" w:eastAsia="zh-CN" w:bidi="ar-SA"/>
        </w:rPr>
        <w:t>3.自然资源海洋气象等支出（类）自然资源事务（款）其他自然资源事务支出（项）:支出决算数为20.00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15.48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43.64%，主要原因</w:t>
      </w:r>
      <w:r>
        <w:rPr>
          <w:rFonts w:hint="eastAsia"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是：</w:t>
      </w:r>
      <w:r>
        <w:rPr>
          <w:rFonts w:hint="eastAsia" w:ascii="仿宋_GB2312" w:eastAsia="仿宋_GB2312"/>
          <w:sz w:val="32"/>
          <w:szCs w:val="32"/>
        </w:rPr>
        <w:t>执法办案业务</w:t>
      </w:r>
      <w:r>
        <w:rPr>
          <w:rFonts w:hint="eastAsia" w:ascii="仿宋_GB2312" w:eastAsia="仿宋_GB2312"/>
          <w:sz w:val="32"/>
          <w:szCs w:val="32"/>
          <w:lang w:eastAsia="zh-CN"/>
        </w:rPr>
        <w:t>经费减少</w:t>
      </w:r>
      <w:r>
        <w:rPr>
          <w:rFonts w:hint="default" w:ascii="仿宋_GB2312" w:eastAsia="仿宋_GB2312"/>
          <w:color w:val="auto"/>
          <w:sz w:val="32"/>
          <w:szCs w:val="32"/>
          <w:highlight w:val="none"/>
          <w:lang w:eastAsia="zh-CN"/>
        </w:rPr>
        <w:t>。</w:t>
      </w:r>
    </w:p>
    <w:p w14:paraId="6BD1F73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4.自然资源海洋气象等支出（类）自然资源事务（款）行政运行（项）:支出决算数为68.12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3.73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5.80%，主要原因是：</w:t>
      </w:r>
      <w:r>
        <w:rPr>
          <w:rFonts w:hint="eastAsia" w:ascii="仿宋_GB2312" w:eastAsia="仿宋_GB2312"/>
          <w:sz w:val="32"/>
          <w:szCs w:val="32"/>
          <w:lang w:eastAsia="zh-CN"/>
        </w:rPr>
        <w:t>工资增加</w:t>
      </w:r>
      <w:r>
        <w:rPr>
          <w:rFonts w:hint="eastAsia" w:ascii="仿宋_GB2312" w:eastAsia="仿宋_GB2312"/>
          <w:sz w:val="32"/>
          <w:szCs w:val="32"/>
        </w:rPr>
        <w:t>，</w:t>
      </w:r>
      <w:r>
        <w:rPr>
          <w:rFonts w:hint="eastAsia" w:ascii="仿宋_GB2312" w:eastAsia="仿宋_GB2312"/>
          <w:sz w:val="32"/>
          <w:szCs w:val="32"/>
          <w:lang w:eastAsia="zh-CN"/>
        </w:rPr>
        <w:t>绩效增加，</w:t>
      </w:r>
      <w:r>
        <w:rPr>
          <w:rFonts w:hint="eastAsia" w:ascii="仿宋_GB2312" w:eastAsia="仿宋_GB2312"/>
          <w:sz w:val="32"/>
          <w:szCs w:val="32"/>
        </w:rPr>
        <w:t>导致本年度支出增加</w:t>
      </w:r>
      <w:r>
        <w:rPr>
          <w:rFonts w:hint="eastAsia" w:eastAsia="仿宋_GB2312" w:cs="Times New Roman"/>
          <w:color w:val="auto"/>
          <w:kern w:val="2"/>
          <w:sz w:val="32"/>
          <w:szCs w:val="32"/>
          <w:highlight w:val="none"/>
          <w:lang w:val="zh-CN" w:eastAsia="zh-CN" w:bidi="ar-SA"/>
        </w:rPr>
        <w:t>。</w:t>
      </w:r>
    </w:p>
    <w:p w14:paraId="503F6CC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5.住房保障支出（类）住房改革支出（款）住房公积金（项）:支出决算数为6.15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1.80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41.36%，主要原因是：</w:t>
      </w:r>
      <w:r>
        <w:rPr>
          <w:rFonts w:hint="eastAsia" w:eastAsia="仿宋_GB2312" w:cs="Times New Roman"/>
          <w:color w:val="auto"/>
          <w:kern w:val="2"/>
          <w:sz w:val="32"/>
          <w:szCs w:val="32"/>
          <w:highlight w:val="none"/>
          <w:lang w:val="en-US" w:eastAsia="zh-CN" w:bidi="ar-SA"/>
        </w:rPr>
        <w:t>工资增加，</w:t>
      </w:r>
      <w:r>
        <w:rPr>
          <w:rFonts w:hint="eastAsia" w:ascii="仿宋_GB2312" w:eastAsia="仿宋_GB2312"/>
          <w:sz w:val="32"/>
          <w:szCs w:val="32"/>
        </w:rPr>
        <w:t>住房公积金缴纳基数</w:t>
      </w:r>
      <w:r>
        <w:rPr>
          <w:rFonts w:hint="eastAsia" w:ascii="仿宋_GB2312" w:eastAsia="仿宋_GB2312"/>
          <w:sz w:val="32"/>
          <w:szCs w:val="32"/>
          <w:lang w:eastAsia="zh-CN"/>
        </w:rPr>
        <w:t>变更</w:t>
      </w:r>
      <w:r>
        <w:rPr>
          <w:rFonts w:hint="eastAsia" w:ascii="仿宋_GB2312" w:eastAsia="仿宋_GB2312"/>
          <w:sz w:val="32"/>
          <w:szCs w:val="32"/>
        </w:rPr>
        <w:t>，支出</w:t>
      </w:r>
      <w:r>
        <w:rPr>
          <w:rFonts w:hint="eastAsia" w:ascii="仿宋_GB2312" w:eastAsia="仿宋_GB2312"/>
          <w:sz w:val="32"/>
          <w:szCs w:val="32"/>
          <w:lang w:eastAsia="zh-CN"/>
        </w:rPr>
        <w:t>增加</w:t>
      </w:r>
      <w:r>
        <w:rPr>
          <w:rFonts w:hint="eastAsia" w:eastAsia="仿宋_GB2312" w:cs="Times New Roman"/>
          <w:color w:val="auto"/>
          <w:kern w:val="2"/>
          <w:sz w:val="32"/>
          <w:szCs w:val="32"/>
          <w:highlight w:val="none"/>
          <w:lang w:val="zh-CN" w:eastAsia="zh-CN" w:bidi="ar-SA"/>
        </w:rPr>
        <w:t>。</w:t>
      </w:r>
    </w:p>
    <w:p w14:paraId="72888D2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6.社会保障和就业支出（类）行政事业单位养老支出（款）行政单位离退休（项）:支出决算数为8.08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0.85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9.53%，主要原因是：</w:t>
      </w:r>
      <w:r>
        <w:rPr>
          <w:rFonts w:hint="eastAsia" w:ascii="仿宋_GB2312" w:eastAsia="仿宋_GB2312"/>
          <w:color w:val="auto"/>
          <w:spacing w:val="0"/>
          <w:sz w:val="32"/>
          <w:szCs w:val="32"/>
          <w:highlight w:val="none"/>
          <w:lang w:val="en-US" w:eastAsia="zh-CN"/>
        </w:rPr>
        <w:t>2023年度</w:t>
      </w:r>
      <w:r>
        <w:rPr>
          <w:rFonts w:hint="eastAsia" w:ascii="仿宋_GB2312" w:eastAsia="仿宋_GB2312"/>
          <w:sz w:val="32"/>
          <w:szCs w:val="32"/>
          <w:lang w:eastAsia="zh-CN"/>
        </w:rPr>
        <w:t>按规定</w:t>
      </w:r>
      <w:r>
        <w:rPr>
          <w:rFonts w:hint="eastAsia" w:ascii="仿宋_GB2312" w:eastAsia="仿宋_GB2312"/>
          <w:sz w:val="32"/>
          <w:szCs w:val="32"/>
          <w:lang w:val="en-US" w:eastAsia="zh-CN"/>
        </w:rPr>
        <w:t>退休人员的医疗费经财政收回</w:t>
      </w:r>
      <w:r>
        <w:rPr>
          <w:rFonts w:hint="eastAsia" w:ascii="仿宋_GB2312" w:eastAsia="仿宋_GB2312"/>
          <w:sz w:val="32"/>
          <w:szCs w:val="32"/>
        </w:rPr>
        <w:t>，支出减少</w:t>
      </w:r>
      <w:r>
        <w:rPr>
          <w:rFonts w:hint="eastAsia" w:eastAsia="仿宋_GB2312" w:cs="Times New Roman"/>
          <w:color w:val="auto"/>
          <w:kern w:val="2"/>
          <w:sz w:val="32"/>
          <w:szCs w:val="32"/>
          <w:highlight w:val="none"/>
          <w:lang w:val="zh-CN" w:eastAsia="zh-CN" w:bidi="ar-SA"/>
        </w:rPr>
        <w:t>。</w:t>
      </w:r>
    </w:p>
    <w:p w14:paraId="002F312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7.社会保障和就业支出（类）行政事业单位养老支出（款）机关事业单位职业年金缴费支出（项）:支出决算数为6.12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6.12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w:t>
      </w:r>
      <w:r>
        <w:rPr>
          <w:rFonts w:hint="eastAsia" w:eastAsia="仿宋_GB2312" w:cs="Times New Roman"/>
          <w:color w:val="auto"/>
          <w:kern w:val="2"/>
          <w:sz w:val="32"/>
          <w:szCs w:val="32"/>
          <w:highlight w:val="none"/>
          <w:lang w:val="en-US" w:eastAsia="zh-CN" w:bidi="ar-SA"/>
        </w:rPr>
        <w:t>.00</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仿宋_GB2312" w:eastAsia="仿宋_GB2312"/>
          <w:sz w:val="32"/>
          <w:szCs w:val="32"/>
          <w:lang w:eastAsia="zh-CN"/>
        </w:rPr>
        <w:t>职业年金坐实</w:t>
      </w:r>
      <w:r>
        <w:rPr>
          <w:rFonts w:hint="eastAsia" w:eastAsia="仿宋_GB2312" w:cs="Times New Roman"/>
          <w:color w:val="auto"/>
          <w:kern w:val="2"/>
          <w:sz w:val="32"/>
          <w:szCs w:val="32"/>
          <w:highlight w:val="none"/>
          <w:lang w:val="zh-CN" w:eastAsia="zh-CN" w:bidi="ar-SA"/>
        </w:rPr>
        <w:t>。</w:t>
      </w:r>
    </w:p>
    <w:p w14:paraId="6D33566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8.社会保障和就业支出（类）行政事业单位养老支出（款）机关事业单位基本养老保险缴费支出（项）:支出决算数为8.20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2.40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41.36%，主要原因是：</w:t>
      </w:r>
      <w:r>
        <w:rPr>
          <w:rFonts w:hint="eastAsia" w:eastAsia="仿宋_GB2312" w:cs="Times New Roman"/>
          <w:color w:val="auto"/>
          <w:kern w:val="2"/>
          <w:sz w:val="32"/>
          <w:szCs w:val="32"/>
          <w:highlight w:val="none"/>
          <w:lang w:val="en-US" w:eastAsia="zh-CN" w:bidi="ar-SA"/>
        </w:rPr>
        <w:t>工资增加，</w:t>
      </w:r>
      <w:r>
        <w:rPr>
          <w:rFonts w:hint="eastAsia" w:ascii="仿宋_GB2312" w:eastAsia="仿宋_GB2312"/>
          <w:sz w:val="32"/>
          <w:szCs w:val="32"/>
          <w:lang w:eastAsia="zh-CN"/>
        </w:rPr>
        <w:t>社保缴费基数变更，养老保险缴费增加</w:t>
      </w:r>
      <w:r>
        <w:rPr>
          <w:rFonts w:hint="eastAsia" w:eastAsia="仿宋_GB2312" w:cs="Times New Roman"/>
          <w:color w:val="auto"/>
          <w:kern w:val="2"/>
          <w:sz w:val="32"/>
          <w:szCs w:val="32"/>
          <w:highlight w:val="none"/>
          <w:lang w:val="zh-CN" w:eastAsia="zh-CN" w:bidi="ar-SA"/>
        </w:rPr>
        <w:t>。</w:t>
      </w:r>
    </w:p>
    <w:p w14:paraId="33090FC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4C43E243">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104.37</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98.76</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伙食补助费、机关事业单位基本养老保险缴费、职业年金缴费、职工基本医疗保险缴费、公务员医疗补助缴费、其他社会保障缴费、住房公积金、退休费、其他对个人和家庭的补助、。</w:t>
      </w:r>
    </w:p>
    <w:p w14:paraId="58C6A6F3">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5.61</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办公费、邮电费、取暖费、差旅费、工会经费、福利费、其他交通费用、其他商品和服务支出。</w:t>
      </w:r>
    </w:p>
    <w:p w14:paraId="6C29444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53C8A782">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增加0.00万元，增长0.00%，主要原因是：</w:t>
      </w:r>
      <w:r>
        <w:rPr>
          <w:rFonts w:ascii="仿宋_GB2312" w:eastAsia="仿宋_GB2312"/>
          <w:sz w:val="32"/>
          <w:szCs w:val="32"/>
        </w:rPr>
        <w:t>我单位无“三公”经费支出</w:t>
      </w:r>
      <w:r>
        <w:rPr>
          <w:rFonts w:hint="eastAsia" w:ascii="仿宋_GB2312" w:eastAsia="仿宋_GB2312"/>
          <w:color w:val="auto"/>
          <w:sz w:val="32"/>
          <w:szCs w:val="32"/>
          <w:highlight w:val="none"/>
          <w:lang w:val="zh-CN" w:eastAsia="zh-CN"/>
        </w:rPr>
        <w:t>。其中：因公出国（境）费支出0.00万元，占0.00%，比上年增加0.00万元，增长0.00%，主要原因是：</w:t>
      </w:r>
      <w:r>
        <w:rPr>
          <w:rFonts w:ascii="仿宋_GB2312" w:eastAsia="仿宋_GB2312"/>
          <w:sz w:val="32"/>
          <w:szCs w:val="32"/>
        </w:rPr>
        <w:t>我单位无</w:t>
      </w:r>
      <w:r>
        <w:rPr>
          <w:rFonts w:hint="eastAsia" w:ascii="仿宋_GB2312" w:eastAsia="仿宋_GB2312"/>
          <w:color w:val="auto"/>
          <w:sz w:val="32"/>
          <w:szCs w:val="32"/>
          <w:highlight w:val="none"/>
          <w:lang w:val="zh-CN" w:eastAsia="zh-CN"/>
        </w:rPr>
        <w:t>因公出国（境）费支出；公务用车购置及运行维护费支出0.00万元，占0.00%，比上年增加0.00万元，增长0.00%，主要原因是：</w:t>
      </w:r>
      <w:r>
        <w:rPr>
          <w:rFonts w:ascii="仿宋_GB2312" w:eastAsia="仿宋_GB2312"/>
          <w:sz w:val="32"/>
          <w:szCs w:val="32"/>
        </w:rPr>
        <w:t>我单位</w:t>
      </w:r>
      <w:r>
        <w:rPr>
          <w:rFonts w:hint="eastAsia" w:ascii="仿宋_GB2312" w:eastAsia="仿宋_GB2312"/>
          <w:sz w:val="32"/>
          <w:szCs w:val="32"/>
          <w:lang w:eastAsia="zh-CN"/>
        </w:rPr>
        <w:t>无</w:t>
      </w:r>
      <w:r>
        <w:rPr>
          <w:rFonts w:hint="eastAsia" w:ascii="仿宋_GB2312" w:eastAsia="仿宋_GB2312"/>
          <w:color w:val="auto"/>
          <w:sz w:val="32"/>
          <w:szCs w:val="32"/>
          <w:highlight w:val="none"/>
          <w:lang w:val="zh-CN" w:eastAsia="zh-CN"/>
        </w:rPr>
        <w:t>公务用车购置及运行维护费支出；公务接待费支出0.00万元，占0.00%，比上年增加0.00万元，增长0.00%，主要原因是：</w:t>
      </w:r>
      <w:r>
        <w:rPr>
          <w:rFonts w:ascii="仿宋_GB2312" w:eastAsia="仿宋_GB2312"/>
          <w:sz w:val="32"/>
          <w:szCs w:val="32"/>
        </w:rPr>
        <w:t>我单位无</w:t>
      </w:r>
      <w:r>
        <w:rPr>
          <w:rFonts w:hint="eastAsia" w:ascii="仿宋_GB2312" w:eastAsia="仿宋_GB2312"/>
          <w:color w:val="auto"/>
          <w:sz w:val="32"/>
          <w:szCs w:val="32"/>
          <w:highlight w:val="none"/>
          <w:lang w:val="zh-CN" w:eastAsia="zh-CN"/>
        </w:rPr>
        <w:t>公务接待费支出。</w:t>
      </w:r>
    </w:p>
    <w:p w14:paraId="6D7E06A5">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14:paraId="047B36AA">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sz w:val="32"/>
          <w:szCs w:val="32"/>
        </w:rPr>
        <w:t>我单位无</w:t>
      </w:r>
      <w:r>
        <w:rPr>
          <w:rFonts w:hint="eastAsia" w:ascii="仿宋_GB2312" w:eastAsia="仿宋_GB2312"/>
          <w:color w:val="auto"/>
          <w:sz w:val="32"/>
          <w:szCs w:val="32"/>
          <w:highlight w:val="none"/>
          <w:lang w:val="zh-CN" w:eastAsia="zh-CN"/>
        </w:rPr>
        <w:t>因公出国（境）费支出。单位全年安排的因公出国（境）团组0个，因公出国（境）0人次。</w:t>
      </w:r>
    </w:p>
    <w:p w14:paraId="5B0E409A">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w:t>
      </w:r>
      <w:r>
        <w:rPr>
          <w:rFonts w:hint="eastAsia" w:ascii="仿宋_GB2312" w:eastAsia="仿宋_GB2312"/>
          <w:sz w:val="32"/>
          <w:szCs w:val="32"/>
        </w:rPr>
        <w:t>我单位</w:t>
      </w:r>
      <w:r>
        <w:rPr>
          <w:rFonts w:hint="eastAsia" w:ascii="仿宋_GB2312" w:eastAsia="仿宋_GB2312"/>
          <w:sz w:val="32"/>
          <w:szCs w:val="32"/>
          <w:lang w:eastAsia="zh-CN"/>
        </w:rPr>
        <w:t>无</w:t>
      </w:r>
      <w:r>
        <w:rPr>
          <w:rFonts w:hint="eastAsia" w:ascii="仿宋_GB2312" w:eastAsia="仿宋_GB2312"/>
          <w:color w:val="auto"/>
          <w:sz w:val="32"/>
          <w:szCs w:val="32"/>
          <w:highlight w:val="none"/>
          <w:lang w:val="zh-CN" w:eastAsia="zh-CN"/>
        </w:rPr>
        <w:t>公务用车运行维护费</w:t>
      </w:r>
      <w:r>
        <w:rPr>
          <w:rFonts w:hint="eastAsia" w:ascii="仿宋_GB2312" w:eastAsia="仿宋_GB2312"/>
          <w:sz w:val="32"/>
          <w:szCs w:val="32"/>
        </w:rPr>
        <w:t>支出</w:t>
      </w:r>
      <w:r>
        <w:rPr>
          <w:rFonts w:hint="eastAsia" w:ascii="仿宋_GB2312" w:eastAsia="仿宋_GB2312"/>
          <w:color w:val="auto"/>
          <w:sz w:val="32"/>
          <w:szCs w:val="32"/>
          <w:highlight w:val="none"/>
          <w:lang w:val="zh-CN" w:eastAsia="zh-CN"/>
        </w:rPr>
        <w:t>。公务用车购置数0辆，公务用车保有量0辆。国有资产占用情况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3辆，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sz w:val="32"/>
          <w:szCs w:val="32"/>
        </w:rPr>
        <w:t>我单位</w:t>
      </w:r>
      <w:r>
        <w:rPr>
          <w:rFonts w:hint="eastAsia" w:ascii="仿宋_GB2312" w:eastAsia="仿宋_GB2312"/>
          <w:color w:val="auto"/>
          <w:sz w:val="32"/>
          <w:szCs w:val="32"/>
          <w:highlight w:val="none"/>
          <w:lang w:val="en-US" w:eastAsia="zh-CN"/>
        </w:rPr>
        <w:t>固定资产车辆包含</w:t>
      </w:r>
      <w:r>
        <w:rPr>
          <w:rFonts w:hint="eastAsia" w:ascii="仿宋_GB2312" w:eastAsia="仿宋_GB2312"/>
          <w:sz w:val="32"/>
          <w:szCs w:val="32"/>
          <w:lang w:val="en-US" w:eastAsia="zh-CN"/>
        </w:rPr>
        <w:t>1辆在编</w:t>
      </w:r>
      <w:r>
        <w:rPr>
          <w:rFonts w:hint="eastAsia" w:ascii="仿宋_GB2312" w:eastAsia="仿宋_GB2312"/>
          <w:sz w:val="32"/>
          <w:szCs w:val="32"/>
          <w:lang w:eastAsia="zh-CN"/>
        </w:rPr>
        <w:t>执法执勤用车</w:t>
      </w:r>
      <w:r>
        <w:rPr>
          <w:rFonts w:hint="eastAsia" w:ascii="仿宋_GB2312" w:eastAsia="仿宋_GB2312"/>
          <w:color w:val="auto"/>
          <w:sz w:val="32"/>
          <w:szCs w:val="32"/>
          <w:highlight w:val="none"/>
          <w:lang w:val="zh-CN" w:eastAsia="zh-CN"/>
        </w:rPr>
        <w:t>，</w:t>
      </w:r>
      <w:r>
        <w:rPr>
          <w:rFonts w:hint="eastAsia" w:ascii="仿宋_GB2312" w:eastAsia="仿宋_GB2312"/>
          <w:color w:val="auto"/>
          <w:sz w:val="32"/>
          <w:szCs w:val="32"/>
          <w:highlight w:val="none"/>
          <w:lang w:val="en-US" w:eastAsia="zh-CN"/>
        </w:rPr>
        <w:t>2辆不在编，属于其他执法执勤车</w:t>
      </w:r>
      <w:r>
        <w:rPr>
          <w:rFonts w:hint="eastAsia" w:eastAsia="仿宋_GB2312" w:cs="Times New Roman"/>
          <w:color w:val="auto"/>
          <w:sz w:val="32"/>
          <w:szCs w:val="32"/>
          <w:highlight w:val="none"/>
          <w:lang w:val="zh-CN" w:eastAsia="zh-CN"/>
        </w:rPr>
        <w:t>，均</w:t>
      </w:r>
      <w:r>
        <w:rPr>
          <w:rFonts w:hint="eastAsia" w:ascii="仿宋_GB2312" w:eastAsia="仿宋_GB2312"/>
          <w:sz w:val="32"/>
          <w:szCs w:val="32"/>
          <w:lang w:val="zh-CN" w:eastAsia="zh-CN"/>
        </w:rPr>
        <w:t>不属于公务用车，使用其他交通费，支付燃油及维修费</w:t>
      </w:r>
      <w:r>
        <w:rPr>
          <w:rFonts w:hint="eastAsia" w:ascii="仿宋_GB2312" w:eastAsia="仿宋_GB2312"/>
          <w:color w:val="auto"/>
          <w:sz w:val="32"/>
          <w:szCs w:val="32"/>
          <w:highlight w:val="none"/>
          <w:lang w:val="en-US" w:eastAsia="zh-CN"/>
        </w:rPr>
        <w:t>。</w:t>
      </w:r>
    </w:p>
    <w:p w14:paraId="2D0C563B">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sz w:val="32"/>
          <w:szCs w:val="32"/>
        </w:rPr>
        <w:t>我单位无</w:t>
      </w:r>
      <w:r>
        <w:rPr>
          <w:rFonts w:hint="eastAsia" w:ascii="仿宋_GB2312" w:eastAsia="仿宋_GB2312"/>
          <w:color w:val="auto"/>
          <w:sz w:val="32"/>
          <w:szCs w:val="32"/>
          <w:highlight w:val="none"/>
          <w:lang w:val="zh-CN" w:eastAsia="zh-CN"/>
        </w:rPr>
        <w:t>公务接待费</w:t>
      </w:r>
      <w:r>
        <w:rPr>
          <w:rFonts w:hint="eastAsia" w:ascii="仿宋_GB2312" w:eastAsia="仿宋_GB2312"/>
          <w:sz w:val="32"/>
          <w:szCs w:val="32"/>
        </w:rPr>
        <w:t>支出</w:t>
      </w:r>
      <w:r>
        <w:rPr>
          <w:rFonts w:hint="eastAsia" w:ascii="仿宋_GB2312" w:eastAsia="仿宋_GB2312"/>
          <w:color w:val="auto"/>
          <w:sz w:val="32"/>
          <w:szCs w:val="32"/>
          <w:highlight w:val="none"/>
          <w:lang w:val="zh-CN" w:eastAsia="zh-CN"/>
        </w:rPr>
        <w:t>。单位全年安排的国内公务接待0批次，0人次。</w:t>
      </w:r>
    </w:p>
    <w:p w14:paraId="07A22725">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我单位无“三公”经费</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sz w:val="32"/>
          <w:szCs w:val="32"/>
        </w:rPr>
        <w:t>我单位无</w:t>
      </w:r>
      <w:r>
        <w:rPr>
          <w:rFonts w:hint="eastAsia" w:ascii="仿宋_GB2312" w:eastAsia="仿宋_GB2312"/>
          <w:color w:val="auto"/>
          <w:sz w:val="32"/>
          <w:szCs w:val="32"/>
          <w:highlight w:val="none"/>
          <w:lang w:val="zh-CN" w:eastAsia="zh-CN"/>
        </w:rPr>
        <w:t>因公出国（境）费；公务用车购置费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w:t>
      </w:r>
      <w:r>
        <w:rPr>
          <w:rFonts w:hint="eastAsia" w:ascii="仿宋_GB2312" w:eastAsia="仿宋_GB2312"/>
          <w:sz w:val="32"/>
          <w:szCs w:val="32"/>
          <w:lang w:eastAsia="zh-CN"/>
        </w:rPr>
        <w:t>无</w:t>
      </w:r>
      <w:r>
        <w:rPr>
          <w:rFonts w:hint="eastAsia" w:ascii="仿宋_GB2312" w:eastAsia="仿宋_GB2312"/>
          <w:color w:val="auto"/>
          <w:sz w:val="32"/>
          <w:szCs w:val="32"/>
          <w:highlight w:val="none"/>
          <w:lang w:val="zh-CN" w:eastAsia="zh-CN"/>
        </w:rPr>
        <w:t>公务用车购置；公务用车运行费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w:t>
      </w:r>
      <w:r>
        <w:rPr>
          <w:rFonts w:hint="eastAsia" w:ascii="仿宋_GB2312" w:eastAsia="仿宋_GB2312"/>
          <w:sz w:val="32"/>
          <w:szCs w:val="32"/>
          <w:lang w:eastAsia="zh-CN"/>
        </w:rPr>
        <w:t>无</w:t>
      </w:r>
      <w:r>
        <w:rPr>
          <w:rFonts w:hint="eastAsia" w:ascii="仿宋_GB2312" w:eastAsia="仿宋_GB2312"/>
          <w:color w:val="auto"/>
          <w:sz w:val="32"/>
          <w:szCs w:val="32"/>
          <w:highlight w:val="none"/>
          <w:lang w:val="zh-CN" w:eastAsia="zh-CN"/>
        </w:rPr>
        <w:t>公务用车运行费；公务接待费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w:t>
      </w:r>
      <w:r>
        <w:rPr>
          <w:rFonts w:hint="eastAsia" w:ascii="仿宋_GB2312" w:eastAsia="仿宋_GB2312"/>
          <w:color w:val="auto"/>
          <w:sz w:val="32"/>
          <w:szCs w:val="32"/>
          <w:highlight w:val="none"/>
          <w:lang w:val="zh-CN" w:eastAsia="zh-CN"/>
        </w:rPr>
        <w:t>公务接待费。</w:t>
      </w:r>
    </w:p>
    <w:p w14:paraId="49564F7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14:paraId="5A1CA3A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14:paraId="27434E3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14:paraId="0F8FE5D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14:paraId="6F53431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14:paraId="0C2FC2E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14:paraId="250FD56F">
      <w:pPr>
        <w:ind w:firstLine="640" w:firstLineChars="200"/>
        <w:rPr>
          <w:rFonts w:hint="eastAsia" w:ascii="Times New Roman" w:hAnsi="Times New Roman" w:eastAsia="仿宋_GB2312" w:cs="Times New Roman"/>
          <w:color w:val="auto"/>
          <w:sz w:val="32"/>
          <w:szCs w:val="32"/>
          <w:highlight w:val="none"/>
          <w:lang w:val="zh-CN" w:eastAsia="zh-CN"/>
        </w:rPr>
      </w:pPr>
      <w:bookmarkStart w:id="24" w:name="_Toc26704"/>
      <w:bookmarkStart w:id="25" w:name="_Toc227"/>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伊宁市国土资源执法监察大队（行政单位和参照公务员法管理事业单位）机关运行经费支出5.61万元，比上年增加0.42万元，增长8.17%,主要原因是：</w:t>
      </w: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年度</w:t>
      </w:r>
      <w:r>
        <w:rPr>
          <w:rFonts w:hint="eastAsia" w:ascii="仿宋_GB2312" w:eastAsia="仿宋_GB2312"/>
          <w:sz w:val="32"/>
          <w:szCs w:val="32"/>
          <w:lang w:eastAsia="zh-CN"/>
        </w:rPr>
        <w:t>工作业务增加，</w:t>
      </w:r>
      <w:r>
        <w:rPr>
          <w:rFonts w:hint="eastAsia" w:ascii="仿宋_GB2312" w:eastAsia="仿宋_GB2312"/>
          <w:sz w:val="32"/>
          <w:szCs w:val="32"/>
        </w:rPr>
        <w:t>机关运行费用</w:t>
      </w:r>
      <w:r>
        <w:rPr>
          <w:rFonts w:hint="eastAsia" w:ascii="仿宋_GB2312" w:eastAsia="仿宋_GB2312"/>
          <w:sz w:val="32"/>
          <w:szCs w:val="32"/>
          <w:lang w:eastAsia="zh-CN"/>
        </w:rPr>
        <w:t>增加</w:t>
      </w:r>
      <w:r>
        <w:rPr>
          <w:rFonts w:hint="eastAsia" w:ascii="Times New Roman" w:hAnsi="Times New Roman" w:eastAsia="仿宋_GB2312" w:cs="Times New Roman"/>
          <w:color w:val="auto"/>
          <w:sz w:val="32"/>
          <w:szCs w:val="32"/>
          <w:highlight w:val="none"/>
          <w:lang w:val="en-US" w:eastAsia="zh-CN"/>
        </w:rPr>
        <w:t>。</w:t>
      </w:r>
    </w:p>
    <w:p w14:paraId="54A12F6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14:paraId="714BFF7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0.00万元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其中：政府采购货物支出0.00万元、政府采购工程支出0.00万元、政府采购服务支出0.00万元。</w:t>
      </w:r>
    </w:p>
    <w:p w14:paraId="145786B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14:paraId="1C94B04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14:paraId="3A6774D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140.88</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屋120.69平方米，价值40.13万元。车辆3辆，价值72.32万元，其中：副部（省）级及以上领导用车0辆、主要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用车0辆、机要通信用车0辆、应急保障用车0辆、执法执勤用车1辆、特种专业技术用车0辆、离退休干部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用车0辆、其他用车2辆，其他用车主要是：</w:t>
      </w:r>
      <w:r>
        <w:rPr>
          <w:rFonts w:hint="eastAsia" w:ascii="仿宋_GB2312" w:eastAsia="仿宋_GB2312"/>
          <w:sz w:val="32"/>
          <w:szCs w:val="32"/>
        </w:rPr>
        <w:t>其他相关工作用车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14:paraId="2EE4BAC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14:paraId="40D28DA7">
      <w:pPr>
        <w:ind w:firstLine="640" w:firstLineChars="200"/>
        <w:rPr>
          <w:rFonts w:ascii="仿宋_GB2312" w:eastAsia="仿宋_GB2312"/>
          <w:sz w:val="32"/>
          <w:szCs w:val="32"/>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sz w:val="32"/>
          <w:szCs w:val="32"/>
        </w:rPr>
        <w:t>预算绩效管理取得的成效：</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发现的问题及原因：</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下一步改进措施：</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bookmarkStart w:id="48" w:name="_GoBack"/>
      <w:bookmarkEnd w:id="48"/>
      <w:r>
        <w:rPr>
          <w:rFonts w:hint="eastAsia" w:ascii="仿宋_GB2312" w:eastAsia="仿宋_GB2312"/>
          <w:sz w:val="32"/>
          <w:szCs w:val="32"/>
        </w:rPr>
        <w:t>。</w:t>
      </w:r>
    </w:p>
    <w:p w14:paraId="339FF0A0">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14:paraId="7F5CB5B1">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授予中小企业合同金额、授予小微企业合同金额为0.00万元，主要原因是：我单位为自治区垂直管理单位，属于自治区外派机构实行驻地采购方式，不在自治区集中采购范围内，所以无政府采购相关情况。</w:t>
      </w:r>
    </w:p>
    <w:p w14:paraId="686A150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14:paraId="36CDE79B">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10A66F7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38F5BCE5">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42C4D140">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73A88F32">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00ADF6E1">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3004017B">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23CA81EA">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675E40A">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60041626">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2FDE63E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6686FFB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264DD5FB">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5240D721">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156AC7C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14:paraId="3E0F7F8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14:paraId="5E98ED2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14:paraId="796AE04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14:paraId="5746DC6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14:paraId="08F8F0B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14:paraId="7CD3BF9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14:paraId="5243534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14:paraId="02BC8C8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14:paraId="4972D6A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3FF8B8EB">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14:paraId="2B5387E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BAAE1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30A2550">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730A2550">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zZmRjNGE1MWFhMmQ5YTI4N2U2NGVhNTI5YmQ5NzAifQ=="/>
    <w:docVar w:name="KSO_WPS_MARK_KEY" w:val="41ee2a61-2d54-4f93-83be-afdb9a40d732"/>
  </w:docVars>
  <w:rsids>
    <w:rsidRoot w:val="00000000"/>
    <w:rsid w:val="00213C59"/>
    <w:rsid w:val="003210CE"/>
    <w:rsid w:val="00B70D59"/>
    <w:rsid w:val="00F52A8D"/>
    <w:rsid w:val="019404F8"/>
    <w:rsid w:val="02BD3108"/>
    <w:rsid w:val="02F73D26"/>
    <w:rsid w:val="034D4FEF"/>
    <w:rsid w:val="0357593C"/>
    <w:rsid w:val="035D1785"/>
    <w:rsid w:val="039F47CE"/>
    <w:rsid w:val="03E05CE8"/>
    <w:rsid w:val="03F973EE"/>
    <w:rsid w:val="043E5B56"/>
    <w:rsid w:val="045727AE"/>
    <w:rsid w:val="04C04386"/>
    <w:rsid w:val="04FA68C4"/>
    <w:rsid w:val="053F5AE6"/>
    <w:rsid w:val="057C0B0F"/>
    <w:rsid w:val="05CB200E"/>
    <w:rsid w:val="05EF4B48"/>
    <w:rsid w:val="05F76ECA"/>
    <w:rsid w:val="06792773"/>
    <w:rsid w:val="06C4463C"/>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3F7CF5"/>
    <w:rsid w:val="0F78534A"/>
    <w:rsid w:val="0F89358A"/>
    <w:rsid w:val="0F8C6D51"/>
    <w:rsid w:val="105B0B5E"/>
    <w:rsid w:val="112E58D0"/>
    <w:rsid w:val="11731CAC"/>
    <w:rsid w:val="119500A0"/>
    <w:rsid w:val="11C0733B"/>
    <w:rsid w:val="11D50D17"/>
    <w:rsid w:val="11F0177A"/>
    <w:rsid w:val="120E0809"/>
    <w:rsid w:val="127F665A"/>
    <w:rsid w:val="12F7068C"/>
    <w:rsid w:val="14207DC0"/>
    <w:rsid w:val="14B932DA"/>
    <w:rsid w:val="150A66AF"/>
    <w:rsid w:val="154C1139"/>
    <w:rsid w:val="157B353A"/>
    <w:rsid w:val="158C5B77"/>
    <w:rsid w:val="160D1149"/>
    <w:rsid w:val="163563C0"/>
    <w:rsid w:val="164315EF"/>
    <w:rsid w:val="16557DFE"/>
    <w:rsid w:val="167268FB"/>
    <w:rsid w:val="16D50C50"/>
    <w:rsid w:val="16E120E1"/>
    <w:rsid w:val="17385A05"/>
    <w:rsid w:val="173B3901"/>
    <w:rsid w:val="176747F9"/>
    <w:rsid w:val="178B184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C47468D"/>
    <w:rsid w:val="1CA12CF5"/>
    <w:rsid w:val="1D22799A"/>
    <w:rsid w:val="1D5C1A72"/>
    <w:rsid w:val="1DAF458D"/>
    <w:rsid w:val="1E086ACE"/>
    <w:rsid w:val="1E4669E2"/>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B94DBF"/>
    <w:rsid w:val="2BFC0FF0"/>
    <w:rsid w:val="2C6F314E"/>
    <w:rsid w:val="2CC206BE"/>
    <w:rsid w:val="2D1136DF"/>
    <w:rsid w:val="2D20606D"/>
    <w:rsid w:val="2D99246B"/>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BE685C"/>
    <w:rsid w:val="33CB74FA"/>
    <w:rsid w:val="343642F2"/>
    <w:rsid w:val="343F3010"/>
    <w:rsid w:val="345D0A00"/>
    <w:rsid w:val="34713BFD"/>
    <w:rsid w:val="34C13589"/>
    <w:rsid w:val="353369E3"/>
    <w:rsid w:val="35E00D72"/>
    <w:rsid w:val="36941872"/>
    <w:rsid w:val="36965B9D"/>
    <w:rsid w:val="36C549FD"/>
    <w:rsid w:val="37A755DD"/>
    <w:rsid w:val="37F94FA0"/>
    <w:rsid w:val="380D3381"/>
    <w:rsid w:val="38115B1F"/>
    <w:rsid w:val="384973E2"/>
    <w:rsid w:val="385E3AC3"/>
    <w:rsid w:val="387D6B9E"/>
    <w:rsid w:val="38835649"/>
    <w:rsid w:val="38B75FF0"/>
    <w:rsid w:val="38D45016"/>
    <w:rsid w:val="38D90432"/>
    <w:rsid w:val="3914510A"/>
    <w:rsid w:val="3926770B"/>
    <w:rsid w:val="398D3668"/>
    <w:rsid w:val="39DA0497"/>
    <w:rsid w:val="3A4D0501"/>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59A6C07"/>
    <w:rsid w:val="46061BDC"/>
    <w:rsid w:val="461404F8"/>
    <w:rsid w:val="463158E2"/>
    <w:rsid w:val="46413018"/>
    <w:rsid w:val="464B7E04"/>
    <w:rsid w:val="468041AA"/>
    <w:rsid w:val="468123C6"/>
    <w:rsid w:val="46901EEE"/>
    <w:rsid w:val="469C74D2"/>
    <w:rsid w:val="47445515"/>
    <w:rsid w:val="474B4782"/>
    <w:rsid w:val="47D90D14"/>
    <w:rsid w:val="48387FB0"/>
    <w:rsid w:val="483A6114"/>
    <w:rsid w:val="487005C2"/>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B2111F"/>
    <w:rsid w:val="4EFD18DE"/>
    <w:rsid w:val="4F144236"/>
    <w:rsid w:val="4F663C87"/>
    <w:rsid w:val="4F7E29A8"/>
    <w:rsid w:val="4F9E1FFC"/>
    <w:rsid w:val="50447CC2"/>
    <w:rsid w:val="50874A7C"/>
    <w:rsid w:val="50895EE7"/>
    <w:rsid w:val="50921B9D"/>
    <w:rsid w:val="50D16158"/>
    <w:rsid w:val="50DB5F45"/>
    <w:rsid w:val="51025EB1"/>
    <w:rsid w:val="51141503"/>
    <w:rsid w:val="51200A2D"/>
    <w:rsid w:val="518D0ED5"/>
    <w:rsid w:val="525C687F"/>
    <w:rsid w:val="52F647F7"/>
    <w:rsid w:val="52F92565"/>
    <w:rsid w:val="53D03877"/>
    <w:rsid w:val="53F15CD4"/>
    <w:rsid w:val="542F73CA"/>
    <w:rsid w:val="5430786D"/>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D05272"/>
    <w:rsid w:val="5AFC6609"/>
    <w:rsid w:val="5B113480"/>
    <w:rsid w:val="5BD456CE"/>
    <w:rsid w:val="5BFB3FFB"/>
    <w:rsid w:val="5C0D1F49"/>
    <w:rsid w:val="5C2B081A"/>
    <w:rsid w:val="5CBB0CE2"/>
    <w:rsid w:val="5CC17177"/>
    <w:rsid w:val="5CF306BC"/>
    <w:rsid w:val="5D3F3D64"/>
    <w:rsid w:val="5D833043"/>
    <w:rsid w:val="5DD92690"/>
    <w:rsid w:val="5DDB1CFD"/>
    <w:rsid w:val="5E7E6D93"/>
    <w:rsid w:val="5ED44800"/>
    <w:rsid w:val="5F350BDE"/>
    <w:rsid w:val="5F61632C"/>
    <w:rsid w:val="5FA17648"/>
    <w:rsid w:val="5FE705CB"/>
    <w:rsid w:val="603D5080"/>
    <w:rsid w:val="60C650D3"/>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5E0930"/>
    <w:rsid w:val="6C8138D0"/>
    <w:rsid w:val="6CEF0725"/>
    <w:rsid w:val="6D4B2604"/>
    <w:rsid w:val="6D8030E4"/>
    <w:rsid w:val="6E0E35C4"/>
    <w:rsid w:val="6E0F7A08"/>
    <w:rsid w:val="6E3947F5"/>
    <w:rsid w:val="6E9600A7"/>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89040CF"/>
    <w:rsid w:val="790A6425"/>
    <w:rsid w:val="790E2D96"/>
    <w:rsid w:val="791B54B2"/>
    <w:rsid w:val="795A0A34"/>
    <w:rsid w:val="797339C3"/>
    <w:rsid w:val="79D57D57"/>
    <w:rsid w:val="79F00650"/>
    <w:rsid w:val="7A2C34B2"/>
    <w:rsid w:val="7A6242BF"/>
    <w:rsid w:val="7A794513"/>
    <w:rsid w:val="7AE952D2"/>
    <w:rsid w:val="7AFC2898"/>
    <w:rsid w:val="7B362A78"/>
    <w:rsid w:val="7C976D69"/>
    <w:rsid w:val="7CD752DA"/>
    <w:rsid w:val="7CDE40AB"/>
    <w:rsid w:val="7CF057E2"/>
    <w:rsid w:val="7D1548B5"/>
    <w:rsid w:val="7DF84014"/>
    <w:rsid w:val="7E207949"/>
    <w:rsid w:val="7E5C0A47"/>
    <w:rsid w:val="7E670C75"/>
    <w:rsid w:val="7E7B32B3"/>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5540</Words>
  <Characters>6141</Characters>
  <Lines>0</Lines>
  <Paragraphs>0</Paragraphs>
  <TotalTime>0</TotalTime>
  <ScaleCrop>false</ScaleCrop>
  <LinksUpToDate>false</LinksUpToDate>
  <CharactersWithSpaces>6162</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琪琪妈妈</cp:lastModifiedBy>
  <dcterms:modified xsi:type="dcterms:W3CDTF">2024-09-02T04:08:17Z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