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13B49">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0ECAACD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3D6DD99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伊犁哈萨克自治州国土资源执法监察支队</w:t>
      </w:r>
    </w:p>
    <w:p w14:paraId="66025B6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1414C5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A214821">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E1B9135">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4A95F6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17EBF83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B5CCB3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45DC20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3C866FC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3A3A835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209B33B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0EE961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F91944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33FF8C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9060EF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7311BC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347197BA">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67B58B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1A22098">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09BA27E2">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5ABCD7EA">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C5E888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59FFE08">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65EEC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5C807E8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3C46D6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407C52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F43103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5EF2A39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652BA2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7D80771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2DF3B1CE">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2A37110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2548F54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408DCB4E">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543E4AA0">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7E13A7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675219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519623B">
      <w:pPr>
        <w:ind w:firstLine="640" w:firstLineChars="200"/>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伊犁哈萨克自治州国土资源执法监察支队，为自治区自然资源厅下属四级单位，参照公务员法管理的事业单位。实行垂直管理，统一履行伊犁州国土资源执法监察职能。</w:t>
      </w:r>
    </w:p>
    <w:p w14:paraId="23F0DEE5">
      <w:pPr>
        <w:ind w:firstLine="640" w:firstLineChars="200"/>
        <w:rPr>
          <w:rFonts w:hint="eastAsia" w:ascii="仿宋_GB2312" w:eastAsia="仿宋_GB2312"/>
          <w:sz w:val="32"/>
          <w:szCs w:val="32"/>
          <w:lang w:eastAsia="zh-CN"/>
        </w:rPr>
      </w:pPr>
      <w:r>
        <w:rPr>
          <w:rFonts w:ascii="仿宋_GB2312" w:eastAsia="仿宋_GB2312"/>
          <w:sz w:val="32"/>
          <w:szCs w:val="32"/>
        </w:rPr>
        <w:t>1、宣传和贯彻执行国家、自治区有关土地、矿产资源的法律、法规、规章和政策；</w:t>
      </w:r>
    </w:p>
    <w:p w14:paraId="141267FC">
      <w:pPr>
        <w:ind w:firstLine="640" w:firstLineChars="200"/>
        <w:rPr>
          <w:rFonts w:hint="eastAsia" w:ascii="仿宋_GB2312" w:eastAsia="仿宋_GB2312"/>
          <w:sz w:val="32"/>
          <w:szCs w:val="32"/>
          <w:lang w:eastAsia="zh-CN"/>
        </w:rPr>
      </w:pPr>
      <w:r>
        <w:rPr>
          <w:rFonts w:ascii="仿宋_GB2312" w:eastAsia="仿宋_GB2312"/>
          <w:sz w:val="32"/>
          <w:szCs w:val="32"/>
        </w:rPr>
        <w:t>2、依法组织和实施伊犁州重大土地、矿产资源违法案件的调查、取证、现场勘验工作，并进行查处；</w:t>
      </w:r>
    </w:p>
    <w:p w14:paraId="199BE773">
      <w:pPr>
        <w:ind w:firstLine="640" w:firstLineChars="200"/>
        <w:rPr>
          <w:rFonts w:ascii="黑体" w:hAnsi="黑体" w:eastAsia="黑体" w:cs="宋体"/>
          <w:bCs/>
          <w:kern w:val="0"/>
          <w:sz w:val="32"/>
          <w:szCs w:val="32"/>
        </w:rPr>
      </w:pPr>
      <w:r>
        <w:rPr>
          <w:rFonts w:ascii="仿宋_GB2312" w:eastAsia="仿宋_GB2312"/>
          <w:sz w:val="32"/>
          <w:szCs w:val="32"/>
        </w:rPr>
        <w:t>3、以服务地方经济发展为中心，促进国土执法监察工作，以全面落实国土执法监察工作机制，严厉查处各类国土资源违法行为，切实维护辖区土地、矿产资源合理开发利用秩序，促进地方经济发展为己任，尽职尽责保护国土资源</w:t>
      </w:r>
      <w:r>
        <w:rPr>
          <w:rFonts w:hint="eastAsia" w:ascii="仿宋_GB2312" w:eastAsia="仿宋_GB2312"/>
          <w:sz w:val="32"/>
          <w:szCs w:val="32"/>
        </w:rPr>
        <w:t>。</w:t>
      </w:r>
    </w:p>
    <w:p w14:paraId="035D6B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0F7B4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伊犁哈萨克自治州国土资源执法监察支队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14:paraId="2B49F129">
      <w:pPr>
        <w:ind w:firstLine="640" w:firstLineChars="200"/>
        <w:jc w:val="both"/>
        <w:rPr>
          <w:rFonts w:hint="eastAsia" w:ascii="仿宋_GB2312" w:hAnsi="宋体" w:eastAsia="仿宋_GB2312" w:cs="宋体"/>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个处室，分别是：支队行政办公室、土地执法科、矿产执法科</w:t>
      </w:r>
      <w:r>
        <w:rPr>
          <w:rFonts w:hint="eastAsia" w:ascii="仿宋_GB2312" w:hAnsi="宋体" w:eastAsia="仿宋_GB2312" w:cs="宋体"/>
          <w:kern w:val="0"/>
          <w:sz w:val="32"/>
          <w:szCs w:val="32"/>
        </w:rPr>
        <w:t>。</w:t>
      </w:r>
    </w:p>
    <w:p w14:paraId="71DFFFD6">
      <w:pPr>
        <w:ind w:firstLine="640" w:firstLineChars="200"/>
        <w:jc w:val="both"/>
        <w:rPr>
          <w:rFonts w:hint="eastAsia" w:ascii="仿宋_GB2312" w:hAnsi="宋体" w:eastAsia="仿宋_GB2312" w:cs="宋体"/>
          <w:kern w:val="0"/>
          <w:sz w:val="32"/>
          <w:szCs w:val="32"/>
        </w:rPr>
      </w:pPr>
    </w:p>
    <w:p w14:paraId="3F5045BB">
      <w:pPr>
        <w:ind w:firstLine="640" w:firstLineChars="200"/>
        <w:jc w:val="both"/>
        <w:rPr>
          <w:rFonts w:hint="eastAsia" w:ascii="仿宋_GB2312" w:hAnsi="宋体" w:eastAsia="仿宋_GB2312" w:cs="宋体"/>
          <w:kern w:val="0"/>
          <w:sz w:val="32"/>
          <w:szCs w:val="32"/>
        </w:rPr>
      </w:pPr>
    </w:p>
    <w:p w14:paraId="455A992A">
      <w:pPr>
        <w:ind w:firstLine="640" w:firstLineChars="200"/>
        <w:jc w:val="both"/>
        <w:rPr>
          <w:rFonts w:hint="eastAsia" w:ascii="仿宋_GB2312" w:hAnsi="宋体" w:eastAsia="仿宋_GB2312" w:cs="宋体"/>
          <w:kern w:val="0"/>
          <w:sz w:val="32"/>
          <w:szCs w:val="32"/>
        </w:rPr>
      </w:pPr>
    </w:p>
    <w:p w14:paraId="586BAA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088444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28DCC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342.40万元，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342.40万元，使用非财政拨款结余0.00万元，年初结转和结余0.00万元。</w:t>
      </w:r>
    </w:p>
    <w:p w14:paraId="497410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342.40万元，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342.40万元，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412EA9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减少15.80万元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2023年年初退休1人，年末调入1人，导致经费减少；2022年度年初有上年结余资金，本年度年初无上年结余资金</w:t>
      </w:r>
      <w:r>
        <w:rPr>
          <w:rFonts w:hint="eastAsia" w:ascii="仿宋_GB2312" w:eastAsia="仿宋_GB2312"/>
          <w:color w:val="auto"/>
          <w:spacing w:val="0"/>
          <w:sz w:val="32"/>
          <w:szCs w:val="32"/>
          <w:highlight w:val="none"/>
          <w:lang w:eastAsia="zh-CN"/>
        </w:rPr>
        <w:t>。</w:t>
      </w:r>
    </w:p>
    <w:p w14:paraId="1EE22D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4C2F41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342.40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342.38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259E4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73A1B1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本年支出342.40万元，其中：基本支出242.40万元，占70.79%；项目支出100.00万元，占29.21%；上缴上级支出0.00万元，占0.00%；经营支出0.00万元，占0.00%；对附属单位补助支出0.00万元，占0.00%。</w:t>
      </w:r>
    </w:p>
    <w:p w14:paraId="6A64E6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2ED76C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342.38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342.38</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342.38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342.38</w:t>
      </w:r>
      <w:r>
        <w:rPr>
          <w:rFonts w:hint="eastAsia" w:ascii="仿宋_GB2312" w:eastAsia="仿宋_GB2312"/>
          <w:color w:val="auto"/>
          <w:spacing w:val="0"/>
          <w:sz w:val="32"/>
          <w:szCs w:val="32"/>
          <w:highlight w:val="none"/>
          <w:lang w:eastAsia="zh-CN"/>
        </w:rPr>
        <w:t>万元。</w:t>
      </w:r>
    </w:p>
    <w:p w14:paraId="1B7431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减少15.80万元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2023年年初退休1人，年末调入1人，导致支出减少；2022年度年初有上年结余资金，本年度年初无上年结余资金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318.56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342.38</w:t>
      </w:r>
      <w:r>
        <w:rPr>
          <w:rFonts w:hint="eastAsia" w:ascii="仿宋_GB2312" w:eastAsia="仿宋_GB2312"/>
          <w:color w:val="auto"/>
          <w:spacing w:val="0"/>
          <w:sz w:val="32"/>
          <w:szCs w:val="32"/>
          <w:highlight w:val="none"/>
          <w:lang w:eastAsia="zh-CN"/>
        </w:rPr>
        <w:t>万元，预决算差异率7.48%，主要原因是：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年度调增基础绩效工资及工资正常晋级晋档，人员工资追加，</w:t>
      </w:r>
      <w:r>
        <w:rPr>
          <w:rFonts w:hint="eastAsia" w:ascii="仿宋_GB2312" w:eastAsia="仿宋_GB2312"/>
          <w:sz w:val="32"/>
          <w:szCs w:val="32"/>
          <w:lang w:val="en-US" w:eastAsia="zh-CN"/>
        </w:rPr>
        <w:t>调整预算数后决算数</w:t>
      </w:r>
      <w:r>
        <w:rPr>
          <w:rFonts w:hint="eastAsia" w:ascii="仿宋_GB2312" w:eastAsia="仿宋_GB2312"/>
          <w:sz w:val="32"/>
          <w:szCs w:val="32"/>
        </w:rPr>
        <w:t>增加</w:t>
      </w:r>
      <w:r>
        <w:rPr>
          <w:rFonts w:hint="eastAsia" w:ascii="仿宋_GB2312" w:eastAsia="仿宋_GB2312"/>
          <w:sz w:val="32"/>
          <w:szCs w:val="32"/>
          <w:lang w:eastAsia="zh-CN"/>
        </w:rPr>
        <w:t>。</w:t>
      </w:r>
    </w:p>
    <w:p w14:paraId="42845AB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71B3F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61BDB0A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2023年度一般公共预算财政拨款支出342.38万元，占本年支出合计的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减少15.80万元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下降4.41%，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2023年度年初退休1人，年末调入1人，导致支出减少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318.56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342.38</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7.48%</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年度调增基础绩效工资及工资正常晋级晋档，人员工资追加，</w:t>
      </w:r>
      <w:r>
        <w:rPr>
          <w:rFonts w:hint="eastAsia" w:ascii="仿宋_GB2312" w:eastAsia="仿宋_GB2312"/>
          <w:sz w:val="32"/>
          <w:szCs w:val="32"/>
          <w:lang w:val="en-US" w:eastAsia="zh-CN"/>
        </w:rPr>
        <w:t>调整预算数后决算数</w:t>
      </w:r>
      <w:r>
        <w:rPr>
          <w:rFonts w:hint="eastAsia" w:ascii="仿宋_GB2312" w:eastAsia="仿宋_GB2312"/>
          <w:sz w:val="32"/>
          <w:szCs w:val="32"/>
        </w:rPr>
        <w:t>增加</w:t>
      </w:r>
      <w:r>
        <w:rPr>
          <w:rFonts w:hint="eastAsia" w:ascii="仿宋_GB2312" w:eastAsia="仿宋_GB2312"/>
          <w:sz w:val="32"/>
          <w:szCs w:val="32"/>
          <w:lang w:eastAsia="zh-CN"/>
        </w:rPr>
        <w:t>。</w:t>
      </w:r>
    </w:p>
    <w:p w14:paraId="21DE4120">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296A197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34.43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10.06</w:t>
      </w:r>
      <w:r>
        <w:rPr>
          <w:rFonts w:hint="default" w:ascii="仿宋_GB2312" w:hAnsi="Times New Roman" w:eastAsia="仿宋_GB2312" w:cs="Times New Roman"/>
          <w:color w:val="auto"/>
          <w:spacing w:val="0"/>
          <w:kern w:val="2"/>
          <w:sz w:val="32"/>
          <w:szCs w:val="32"/>
          <w:highlight w:val="none"/>
          <w:lang w:val="zh-CN" w:eastAsia="zh-CN" w:bidi="ar-SA"/>
        </w:rPr>
        <w:t>%；</w:t>
      </w:r>
    </w:p>
    <w:p w14:paraId="6A092CEA">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19.15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5.59</w:t>
      </w:r>
      <w:r>
        <w:rPr>
          <w:rFonts w:hint="default" w:ascii="仿宋_GB2312" w:hAnsi="Times New Roman" w:eastAsia="仿宋_GB2312" w:cs="Times New Roman"/>
          <w:color w:val="auto"/>
          <w:spacing w:val="0"/>
          <w:kern w:val="2"/>
          <w:sz w:val="32"/>
          <w:szCs w:val="32"/>
          <w:highlight w:val="none"/>
          <w:lang w:val="zh-CN" w:eastAsia="zh-CN" w:bidi="ar-SA"/>
        </w:rPr>
        <w:t>%；</w:t>
      </w:r>
    </w:p>
    <w:p w14:paraId="515F16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273.54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79.89</w:t>
      </w:r>
      <w:r>
        <w:rPr>
          <w:rFonts w:hint="default" w:ascii="仿宋_GB2312" w:hAnsi="Times New Roman" w:eastAsia="仿宋_GB2312" w:cs="Times New Roman"/>
          <w:color w:val="auto"/>
          <w:spacing w:val="0"/>
          <w:kern w:val="2"/>
          <w:sz w:val="32"/>
          <w:szCs w:val="32"/>
          <w:highlight w:val="none"/>
          <w:lang w:val="zh-CN" w:eastAsia="zh-CN" w:bidi="ar-SA"/>
        </w:rPr>
        <w:t>%；</w:t>
      </w:r>
    </w:p>
    <w:p w14:paraId="4EC467C9">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15.27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4.46</w:t>
      </w:r>
      <w:r>
        <w:rPr>
          <w:rFonts w:hint="default" w:ascii="仿宋_GB2312" w:hAnsi="Times New Roman" w:eastAsia="仿宋_GB2312" w:cs="Times New Roman"/>
          <w:color w:val="auto"/>
          <w:spacing w:val="0"/>
          <w:kern w:val="2"/>
          <w:sz w:val="32"/>
          <w:szCs w:val="32"/>
          <w:highlight w:val="none"/>
          <w:lang w:val="zh-CN" w:eastAsia="zh-CN" w:bidi="ar-SA"/>
        </w:rPr>
        <w:t>%；</w:t>
      </w:r>
    </w:p>
    <w:p w14:paraId="37267E0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587AA319">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1.卫生健康支出（类）行政事业单位医疗（款）行政单位医疗（项）:支出决算数为10.24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9.58%，主要原因是：</w:t>
      </w:r>
      <w:r>
        <w:rPr>
          <w:rFonts w:hint="eastAsia" w:eastAsia="仿宋_GB2312" w:cs="Times New Roman"/>
          <w:color w:val="auto"/>
          <w:kern w:val="2"/>
          <w:sz w:val="32"/>
          <w:szCs w:val="32"/>
          <w:highlight w:val="none"/>
          <w:lang w:val="en-US" w:eastAsia="zh-CN" w:bidi="ar-SA"/>
        </w:rPr>
        <w:t>2023年度医疗保险缴费基数增加，支出增加</w:t>
      </w:r>
      <w:r>
        <w:rPr>
          <w:rFonts w:hint="eastAsia" w:eastAsia="仿宋_GB2312" w:cs="Times New Roman"/>
          <w:color w:val="auto"/>
          <w:kern w:val="2"/>
          <w:sz w:val="32"/>
          <w:szCs w:val="32"/>
          <w:highlight w:val="none"/>
          <w:lang w:val="zh-CN" w:eastAsia="zh-CN" w:bidi="ar-SA"/>
        </w:rPr>
        <w:t>。</w:t>
      </w:r>
    </w:p>
    <w:p w14:paraId="7EDF5FEB">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2.卫生健康支出（类）行政事业单位医疗（款）公务员医疗补助（项）:支出决算数为8.91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22.52%，主要原因是：</w:t>
      </w:r>
      <w:r>
        <w:rPr>
          <w:rFonts w:hint="eastAsia" w:eastAsia="仿宋_GB2312" w:cs="Times New Roman"/>
          <w:color w:val="auto"/>
          <w:kern w:val="2"/>
          <w:sz w:val="32"/>
          <w:szCs w:val="32"/>
          <w:highlight w:val="none"/>
          <w:lang w:val="en-US" w:eastAsia="zh-CN" w:bidi="ar-SA"/>
        </w:rPr>
        <w:t>2023年度医疗保险缴费基数增加，支出增加</w:t>
      </w:r>
      <w:r>
        <w:rPr>
          <w:rFonts w:hint="eastAsia" w:eastAsia="仿宋_GB2312" w:cs="Times New Roman"/>
          <w:color w:val="auto"/>
          <w:kern w:val="2"/>
          <w:sz w:val="32"/>
          <w:szCs w:val="32"/>
          <w:highlight w:val="none"/>
          <w:lang w:val="zh-CN" w:eastAsia="zh-CN" w:bidi="ar-SA"/>
        </w:rPr>
        <w:t>。</w:t>
      </w:r>
    </w:p>
    <w:p w14:paraId="6DF468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27.16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21.36%，主要原因是：</w:t>
      </w:r>
      <w:r>
        <w:rPr>
          <w:rFonts w:hint="eastAsia" w:ascii="仿宋_GB2312" w:eastAsia="仿宋_GB2312"/>
          <w:sz w:val="32"/>
          <w:szCs w:val="32"/>
        </w:rPr>
        <w:t>执法办案业务</w:t>
      </w:r>
      <w:r>
        <w:rPr>
          <w:rFonts w:hint="eastAsia" w:ascii="仿宋_GB2312" w:eastAsia="仿宋_GB2312"/>
          <w:sz w:val="32"/>
          <w:szCs w:val="32"/>
          <w:lang w:eastAsia="zh-CN"/>
        </w:rPr>
        <w:t>经费减少</w:t>
      </w:r>
      <w:r>
        <w:rPr>
          <w:rFonts w:hint="eastAsia" w:ascii="仿宋_GB2312" w:eastAsia="仿宋_GB2312"/>
          <w:color w:val="auto"/>
          <w:spacing w:val="0"/>
          <w:sz w:val="32"/>
          <w:szCs w:val="32"/>
          <w:highlight w:val="none"/>
          <w:lang w:eastAsia="zh-CN"/>
        </w:rPr>
        <w:t>。</w:t>
      </w:r>
    </w:p>
    <w:p w14:paraId="1D571A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4.自然资源海洋气象等支出（类）自然资源事务（款）行政运行（项）:支出决算数为173.54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1.20%，主要原因是：</w:t>
      </w:r>
      <w:r>
        <w:rPr>
          <w:rFonts w:hint="eastAsia" w:ascii="仿宋_GB2312" w:eastAsia="仿宋_GB2312"/>
          <w:color w:val="auto"/>
          <w:spacing w:val="0"/>
          <w:sz w:val="32"/>
          <w:szCs w:val="32"/>
          <w:highlight w:val="none"/>
          <w:lang w:val="en-US" w:eastAsia="zh-CN"/>
        </w:rPr>
        <w:t>2023年度年初退休1人，年末调入1人，导致支出减少。</w:t>
      </w:r>
    </w:p>
    <w:p w14:paraId="3BC0A5A8">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5.住房保障支出（类）住房改革支出（款）住房公积金（项）:支出决算数为15.27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17.68%，主要原因是：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年度调增</w:t>
      </w:r>
      <w:r>
        <w:rPr>
          <w:rFonts w:hint="eastAsia" w:ascii="仿宋_GB2312" w:eastAsia="仿宋_GB2312"/>
          <w:sz w:val="32"/>
          <w:szCs w:val="32"/>
          <w:lang w:val="en-US" w:eastAsia="zh-CN"/>
        </w:rPr>
        <w:t>工资，住房公积金缴费支出增加</w:t>
      </w:r>
      <w:r>
        <w:rPr>
          <w:rFonts w:hint="eastAsia" w:eastAsia="仿宋_GB2312" w:cs="Times New Roman"/>
          <w:color w:val="auto"/>
          <w:kern w:val="2"/>
          <w:sz w:val="32"/>
          <w:szCs w:val="32"/>
          <w:highlight w:val="none"/>
          <w:lang w:val="zh-CN" w:eastAsia="zh-CN" w:bidi="ar-SA"/>
        </w:rPr>
        <w:t>。</w:t>
      </w:r>
    </w:p>
    <w:p w14:paraId="52A5E17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pacing w:val="0"/>
          <w:sz w:val="32"/>
          <w:szCs w:val="32"/>
          <w:highlight w:val="none"/>
          <w:lang w:eastAsia="zh-CN"/>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6.社会保障和就业支出（类）行政事业单位养老支出（款）行政单位离退休（项）:支出决算数为7.91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6.86%，主要原因是：</w:t>
      </w:r>
      <w:r>
        <w:rPr>
          <w:rFonts w:hint="eastAsia" w:ascii="仿宋_GB2312" w:eastAsia="仿宋_GB2312"/>
          <w:color w:val="auto"/>
          <w:spacing w:val="0"/>
          <w:sz w:val="32"/>
          <w:szCs w:val="32"/>
          <w:highlight w:val="none"/>
          <w:lang w:val="en-US" w:eastAsia="zh-CN"/>
        </w:rPr>
        <w:t>2023年度</w:t>
      </w:r>
      <w:r>
        <w:rPr>
          <w:rFonts w:hint="eastAsia" w:ascii="仿宋_GB2312" w:eastAsia="仿宋_GB2312"/>
          <w:sz w:val="32"/>
          <w:szCs w:val="32"/>
          <w:lang w:eastAsia="zh-CN"/>
        </w:rPr>
        <w:t>按规定</w:t>
      </w:r>
      <w:r>
        <w:rPr>
          <w:rFonts w:hint="eastAsia" w:ascii="仿宋_GB2312" w:eastAsia="仿宋_GB2312"/>
          <w:sz w:val="32"/>
          <w:szCs w:val="32"/>
          <w:lang w:val="en-US" w:eastAsia="zh-CN"/>
        </w:rPr>
        <w:t>退休人员的医疗费经财政收回</w:t>
      </w:r>
      <w:r>
        <w:rPr>
          <w:rFonts w:hint="eastAsia" w:ascii="仿宋_GB2312" w:eastAsia="仿宋_GB2312"/>
          <w:sz w:val="32"/>
          <w:szCs w:val="32"/>
        </w:rPr>
        <w:t>，支出减少</w:t>
      </w:r>
      <w:r>
        <w:rPr>
          <w:rFonts w:hint="eastAsia" w:ascii="仿宋_GB2312" w:eastAsia="仿宋_GB2312"/>
          <w:color w:val="auto"/>
          <w:spacing w:val="0"/>
          <w:sz w:val="32"/>
          <w:szCs w:val="32"/>
          <w:highlight w:val="none"/>
          <w:lang w:val="en-US" w:eastAsia="zh-CN"/>
        </w:rPr>
        <w:t>。</w:t>
      </w:r>
    </w:p>
    <w:p w14:paraId="253CD0BC">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2023年度退休1人，职业年金支出增加</w:t>
      </w:r>
      <w:r>
        <w:rPr>
          <w:rFonts w:hint="eastAsia" w:eastAsia="仿宋_GB2312" w:cs="Times New Roman"/>
          <w:color w:val="auto"/>
          <w:kern w:val="2"/>
          <w:sz w:val="32"/>
          <w:szCs w:val="32"/>
          <w:highlight w:val="none"/>
          <w:lang w:val="zh-CN" w:eastAsia="zh-CN" w:bidi="ar-SA"/>
        </w:rPr>
        <w:t>。</w:t>
      </w:r>
    </w:p>
    <w:p w14:paraId="4AB104FA">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8.社会保障和就业支出（类）行政事业单位养老支出（款）机关事业单位基本养老保险缴费支出（项）:支出决算数为20.35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17.68%，主要原因是：</w:t>
      </w:r>
      <w:r>
        <w:rPr>
          <w:rFonts w:hint="eastAsia" w:eastAsia="仿宋_GB2312" w:cs="Times New Roman"/>
          <w:color w:val="auto"/>
          <w:kern w:val="2"/>
          <w:sz w:val="32"/>
          <w:szCs w:val="32"/>
          <w:highlight w:val="none"/>
          <w:lang w:val="en-US" w:eastAsia="zh-CN" w:bidi="ar-SA"/>
        </w:rPr>
        <w:t>2023年度养老保险缴费基数增加，支出增加</w:t>
      </w:r>
      <w:r>
        <w:rPr>
          <w:rFonts w:hint="eastAsia" w:eastAsia="仿宋_GB2312" w:cs="Times New Roman"/>
          <w:color w:val="auto"/>
          <w:kern w:val="2"/>
          <w:sz w:val="32"/>
          <w:szCs w:val="32"/>
          <w:highlight w:val="none"/>
          <w:lang w:val="zh-CN" w:eastAsia="zh-CN" w:bidi="ar-SA"/>
        </w:rPr>
        <w:t>。</w:t>
      </w:r>
    </w:p>
    <w:p w14:paraId="660996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3F4631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242.38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223.25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基本工资、津贴补贴、奖金、伙食补助费、机关事业单位基本养老保险缴费、职业年金缴费、职工基本医疗保险缴费、公务员医疗补助缴费、其他社会保障缴费、住房公积金、退休费、其他对个人和家庭的补助。</w:t>
      </w:r>
    </w:p>
    <w:p w14:paraId="0F9BBD9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19.13</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办公费、邮电费、取暖费、物业管理费、差旅费、工会经费、福利费、其他交通费用、其他商品和服务支出。</w:t>
      </w:r>
    </w:p>
    <w:p w14:paraId="5194E8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2116F4B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本单位无“三公”经费支出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本单位无</w:t>
      </w:r>
      <w:r>
        <w:rPr>
          <w:rFonts w:hint="eastAsia" w:ascii="仿宋_GB2312" w:eastAsia="仿宋_GB2312"/>
          <w:color w:val="auto"/>
          <w:sz w:val="32"/>
          <w:szCs w:val="32"/>
          <w:highlight w:val="none"/>
          <w:lang w:val="zh-CN" w:eastAsia="zh-CN"/>
        </w:rPr>
        <w:t>因公出国（境）费</w:t>
      </w:r>
      <w:r>
        <w:rPr>
          <w:rFonts w:ascii="仿宋_GB2312" w:eastAsia="仿宋_GB2312"/>
          <w:sz w:val="32"/>
          <w:szCs w:val="32"/>
        </w:rPr>
        <w:t>支出</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本单位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ascii="仿宋_GB2312" w:eastAsia="仿宋_GB2312"/>
          <w:sz w:val="32"/>
          <w:szCs w:val="32"/>
        </w:rPr>
        <w:t>本单位无</w:t>
      </w:r>
      <w:r>
        <w:rPr>
          <w:rFonts w:hint="eastAsia" w:ascii="仿宋_GB2312" w:eastAsia="仿宋_GB2312"/>
          <w:color w:val="auto"/>
          <w:sz w:val="32"/>
          <w:szCs w:val="32"/>
          <w:highlight w:val="none"/>
          <w:lang w:val="zh-CN" w:eastAsia="zh-CN"/>
        </w:rPr>
        <w:t>公务接待费支出。</w:t>
      </w:r>
    </w:p>
    <w:p w14:paraId="25FD2C03">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3D50B6B">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本单位无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14:paraId="5D3214D4">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本单</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公务用车运行维护费支出。公务用车购置数0辆，公务用车保有量0辆。国有资产占用情况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我单位固定资产车辆包含2辆在编执法执勤用车，3辆不在编，属于其他执法执勤车</w:t>
      </w:r>
      <w:r>
        <w:rPr>
          <w:rFonts w:hint="eastAsia" w:eastAsia="仿宋_GB2312" w:cs="Times New Roman"/>
          <w:color w:val="auto"/>
          <w:sz w:val="32"/>
          <w:szCs w:val="32"/>
          <w:highlight w:val="none"/>
          <w:lang w:val="zh-CN" w:eastAsia="zh-CN"/>
        </w:rPr>
        <w:t>，均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1A9DC540">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本单位无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rPr>
        <w:t>支出</w:t>
      </w:r>
      <w:r>
        <w:rPr>
          <w:rFonts w:hint="eastAsia" w:ascii="仿宋_GB2312" w:eastAsia="仿宋_GB2312"/>
          <w:color w:val="auto"/>
          <w:sz w:val="32"/>
          <w:szCs w:val="32"/>
          <w:highlight w:val="none"/>
          <w:lang w:val="zh-CN" w:eastAsia="zh-CN"/>
        </w:rPr>
        <w:t>。单位全年安排的国内公务接待0批次，0人次。</w:t>
      </w:r>
    </w:p>
    <w:p w14:paraId="780D7AD2">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本单位无“三公”经费</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本单位无</w:t>
      </w:r>
      <w:r>
        <w:rPr>
          <w:rFonts w:hint="eastAsia" w:ascii="仿宋_GB2312" w:eastAsia="仿宋_GB2312"/>
          <w:color w:val="auto"/>
          <w:sz w:val="32"/>
          <w:szCs w:val="32"/>
          <w:highlight w:val="none"/>
          <w:lang w:val="zh-CN" w:eastAsia="zh-CN"/>
        </w:rPr>
        <w:t>因公出国（境）费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本单位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公务用车购置费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本单位</w:t>
      </w:r>
      <w:r>
        <w:rPr>
          <w:rFonts w:hint="eastAsia" w:ascii="仿宋_GB2312" w:eastAsia="仿宋_GB2312"/>
          <w:sz w:val="32"/>
          <w:szCs w:val="32"/>
          <w:lang w:eastAsia="zh-CN"/>
        </w:rPr>
        <w:t>无</w:t>
      </w:r>
      <w:r>
        <w:rPr>
          <w:rFonts w:hint="eastAsia" w:ascii="仿宋_GB2312" w:eastAsia="仿宋_GB2312"/>
          <w:color w:val="auto"/>
          <w:sz w:val="32"/>
          <w:szCs w:val="32"/>
          <w:highlight w:val="none"/>
          <w:lang w:val="zh-CN" w:eastAsia="zh-CN"/>
        </w:rPr>
        <w:t>公务用车运行费</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本单位无</w:t>
      </w:r>
      <w:r>
        <w:rPr>
          <w:rFonts w:hint="eastAsia" w:ascii="仿宋_GB2312" w:eastAsia="仿宋_GB2312"/>
          <w:color w:val="auto"/>
          <w:sz w:val="32"/>
          <w:szCs w:val="32"/>
          <w:highlight w:val="none"/>
          <w:lang w:val="zh-CN" w:eastAsia="zh-CN"/>
        </w:rPr>
        <w:t>公务接待费</w:t>
      </w:r>
      <w:r>
        <w:rPr>
          <w:rFonts w:hint="eastAsia" w:ascii="仿宋_GB2312" w:eastAsia="仿宋_GB2312"/>
          <w:sz w:val="32"/>
          <w:szCs w:val="32"/>
        </w:rPr>
        <w:t>。</w:t>
      </w:r>
    </w:p>
    <w:p w14:paraId="1E500F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8CF5F6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5182A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FE4FF1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9BF9F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3E9A6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6C78940">
      <w:pPr>
        <w:ind w:firstLine="640" w:firstLineChars="200"/>
        <w:outlineLvl w:val="2"/>
        <w:rPr>
          <w:rFonts w:ascii="黑体" w:hAnsi="黑体" w:eastAsia="黑体"/>
          <w:sz w:val="32"/>
          <w:szCs w:val="32"/>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伊犁哈萨克自治州国土资源执法监察支队（行政单位和参照公务员法管理事业单位）机关运行经费支出19.13万元，比上年减少0.30万元，下降1.54%，主要原因是：</w:t>
      </w:r>
      <w:r>
        <w:rPr>
          <w:rFonts w:hint="eastAsia" w:ascii="仿宋_GB2312" w:eastAsia="仿宋_GB2312"/>
          <w:sz w:val="32"/>
          <w:szCs w:val="32"/>
          <w:lang w:eastAsia="zh-CN"/>
        </w:rPr>
        <w:t>人员退休，</w:t>
      </w:r>
      <w:r>
        <w:rPr>
          <w:rFonts w:hint="eastAsia" w:ascii="仿宋_GB2312" w:eastAsia="仿宋_GB2312"/>
          <w:sz w:val="32"/>
          <w:szCs w:val="32"/>
        </w:rPr>
        <w:t>机关行政运行经费减少。</w:t>
      </w:r>
    </w:p>
    <w:p w14:paraId="68118E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2C869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7147B0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4B88F2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BF029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316.43</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屋294.21平方米，价值108.43万元。车辆5辆，价值142.17万元，其中：副部（省）级及以上领导用车0辆、主要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用车0辆、机要通信用车0辆、应急保障用车0辆、执法执勤用车2辆、特种专业技术用车0辆、离退休干部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w:t>
      </w:r>
      <w:r>
        <w:rPr>
          <w:rFonts w:hint="eastAsia" w:ascii="仿宋_GB2312" w:eastAsia="仿宋_GB2312"/>
          <w:sz w:val="32"/>
          <w:szCs w:val="32"/>
        </w:rPr>
        <w:t>其他相关工作用车；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348E19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885954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bookmarkStart w:id="30" w:name="_Toc3250"/>
      <w:bookmarkStart w:id="31" w:name="_Toc24143"/>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color w:val="auto"/>
          <w:sz w:val="32"/>
          <w:szCs w:val="32"/>
          <w:highlight w:val="none"/>
          <w:lang w:eastAsia="zh-CN"/>
        </w:rPr>
        <w:t>。</w:t>
      </w:r>
    </w:p>
    <w:p w14:paraId="785F685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576B0E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0"/>
        <w:rPr>
          <w:rFonts w:hint="eastAsia" w:ascii="黑体" w:hAnsi="黑体" w:eastAsia="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4EB515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A8787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7A22A5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C1771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7AB82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1133C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33C0C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56600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49668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58F3BA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E48360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851CCD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783320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671F104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DFC21E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B16B24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7602258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38B57F3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7A4E4E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076528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DD5CAD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8FA69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0E2287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5EC752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F89FF2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3EA4BC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2B0276E0">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7D3DB3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86006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310334C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2B2A7F9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1E7300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340866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4BD4B2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404897D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27F59A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0DD203A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4D1DBF3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C096A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465349-A5D3-4797-9962-40EA4558329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_GBK">
    <w:panose1 w:val="02000000000000000000"/>
    <w:charset w:val="86"/>
    <w:family w:val="script"/>
    <w:pitch w:val="default"/>
    <w:sig w:usb0="A00002BF" w:usb1="38CF7CFA" w:usb2="00082016" w:usb3="00000000" w:csb0="00040001" w:csb1="00000000"/>
    <w:embedRegular r:id="rId2" w:fontKey="{7362E483-1F7B-4C48-B4BE-54549D9D6927}"/>
  </w:font>
  <w:font w:name="仿宋_GB2312">
    <w:panose1 w:val="02010609030101010101"/>
    <w:charset w:val="86"/>
    <w:family w:val="modern"/>
    <w:pitch w:val="default"/>
    <w:sig w:usb0="00000001" w:usb1="080E0000" w:usb2="00000000" w:usb3="00000000" w:csb0="00040000" w:csb1="00000000"/>
    <w:embedRegular r:id="rId3" w:fontKey="{8FC2A24F-57AF-46E2-9429-E43B390073D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CBC73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DF77B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3BDF77B4">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72671"/>
    <w:rsid w:val="035D1785"/>
    <w:rsid w:val="039F47CE"/>
    <w:rsid w:val="03D179D1"/>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337AA"/>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81D43"/>
    <w:rsid w:val="112E58D0"/>
    <w:rsid w:val="11731CAC"/>
    <w:rsid w:val="119500A0"/>
    <w:rsid w:val="11A976A8"/>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821F66"/>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212AD"/>
    <w:rsid w:val="23EF1892"/>
    <w:rsid w:val="24280900"/>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8EE6FC3"/>
    <w:rsid w:val="29072599"/>
    <w:rsid w:val="291029F3"/>
    <w:rsid w:val="298F4F7D"/>
    <w:rsid w:val="29CB58F0"/>
    <w:rsid w:val="2A053397"/>
    <w:rsid w:val="2A145E96"/>
    <w:rsid w:val="2AF5378F"/>
    <w:rsid w:val="2B231E21"/>
    <w:rsid w:val="2BB94DBF"/>
    <w:rsid w:val="2C6F314E"/>
    <w:rsid w:val="2CC206BE"/>
    <w:rsid w:val="2D1136DF"/>
    <w:rsid w:val="2D20606D"/>
    <w:rsid w:val="2DB87198"/>
    <w:rsid w:val="2DB93C54"/>
    <w:rsid w:val="2E3D144C"/>
    <w:rsid w:val="2E4C168F"/>
    <w:rsid w:val="2E891204"/>
    <w:rsid w:val="2F3F0A28"/>
    <w:rsid w:val="2FBF7029"/>
    <w:rsid w:val="2FD0187F"/>
    <w:rsid w:val="2FD27414"/>
    <w:rsid w:val="2FFE4BB0"/>
    <w:rsid w:val="300E7B60"/>
    <w:rsid w:val="300F6E18"/>
    <w:rsid w:val="305B4584"/>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651E4C"/>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6748F"/>
    <w:rsid w:val="4AE12E67"/>
    <w:rsid w:val="4B4C0111"/>
    <w:rsid w:val="4B8553A9"/>
    <w:rsid w:val="4BDB3730"/>
    <w:rsid w:val="4C200F7A"/>
    <w:rsid w:val="4CEE3180"/>
    <w:rsid w:val="4D0F4AF6"/>
    <w:rsid w:val="4DF94F37"/>
    <w:rsid w:val="4E0A1DD5"/>
    <w:rsid w:val="4E3160E5"/>
    <w:rsid w:val="4E4D37AF"/>
    <w:rsid w:val="4E8C6496"/>
    <w:rsid w:val="4EFD18DE"/>
    <w:rsid w:val="4F144236"/>
    <w:rsid w:val="4F186179"/>
    <w:rsid w:val="4F663C87"/>
    <w:rsid w:val="4F7E29A8"/>
    <w:rsid w:val="4F9E1FFC"/>
    <w:rsid w:val="500A3BF2"/>
    <w:rsid w:val="50447CC2"/>
    <w:rsid w:val="50874A7C"/>
    <w:rsid w:val="50895EE7"/>
    <w:rsid w:val="50921B9D"/>
    <w:rsid w:val="50D16158"/>
    <w:rsid w:val="50DB5F45"/>
    <w:rsid w:val="51025EB1"/>
    <w:rsid w:val="51141503"/>
    <w:rsid w:val="513A128B"/>
    <w:rsid w:val="518D0ED5"/>
    <w:rsid w:val="51E85D59"/>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7944F24"/>
    <w:rsid w:val="58175352"/>
    <w:rsid w:val="581F2200"/>
    <w:rsid w:val="583059FA"/>
    <w:rsid w:val="584A0929"/>
    <w:rsid w:val="58CD2491"/>
    <w:rsid w:val="591B41B2"/>
    <w:rsid w:val="59254A26"/>
    <w:rsid w:val="59326325"/>
    <w:rsid w:val="595C505B"/>
    <w:rsid w:val="595E55C3"/>
    <w:rsid w:val="596E7E20"/>
    <w:rsid w:val="59BD058C"/>
    <w:rsid w:val="5A60780B"/>
    <w:rsid w:val="5AB34579"/>
    <w:rsid w:val="5AFC6609"/>
    <w:rsid w:val="5B113480"/>
    <w:rsid w:val="5BD456CE"/>
    <w:rsid w:val="5C0D1F49"/>
    <w:rsid w:val="5CBB0CE2"/>
    <w:rsid w:val="5CC17177"/>
    <w:rsid w:val="5CF306BC"/>
    <w:rsid w:val="5D3F3D64"/>
    <w:rsid w:val="5D833043"/>
    <w:rsid w:val="5DAE3ED2"/>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6E1255"/>
    <w:rsid w:val="797339C3"/>
    <w:rsid w:val="79CB0C87"/>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31"/>
      <w:szCs w:val="3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5745</Words>
  <Characters>6402</Characters>
  <Lines>0</Lines>
  <Paragraphs>0</Paragraphs>
  <TotalTime>0</TotalTime>
  <ScaleCrop>false</ScaleCrop>
  <LinksUpToDate>false</LinksUpToDate>
  <CharactersWithSpaces>6413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2024-09-02T04:07:28Z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