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察布查尔锡伯自治县国土资源执法监察大队</w:t>
      </w:r>
      <w:r>
        <w:rPr>
          <w:rFonts w:hint="eastAsia" w:ascii="方正小标宋_GBK" w:hAnsi="宋体" w:eastAsia="方正小标宋_GBK"/>
          <w:color w:val="auto"/>
          <w:sz w:val="44"/>
          <w:szCs w:val="44"/>
          <w:highlight w:val="none"/>
          <w:lang w:eastAsia="zh-CN"/>
        </w:rPr>
        <w:t>202</w:t>
      </w:r>
      <w:r>
        <w:rPr>
          <w:rFonts w:hint="eastAsia" w:ascii="方正小标宋_GBK" w:hAnsi="宋体" w:eastAsia="方正小标宋_GBK"/>
          <w:color w:val="auto"/>
          <w:sz w:val="44"/>
          <w:szCs w:val="44"/>
          <w:highlight w:val="none"/>
          <w:lang w:val="en-US" w:eastAsia="zh-CN"/>
        </w:rPr>
        <w:t>3</w:t>
      </w: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察布查尔锡伯自治县国土资源执法监察大队为自治区国土资源执法监察总队垂直管理的副处级单位，参照国家公务员制度管理。统一履行察布查尔县国土资源执法监察职能。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察布查尔县国土资源执法监察大队以服务地方经济发展为中心，促进国土执法监察工作，以全面落实国土执法监察工作机制，严厉查处各类国土资源违法行为，切实维护辖区土地矿产资源合理开发利用秩序，促进地方经济发展为己任，尽职尽责保护国土资源。具体职能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1.宣传和贯彻执行国家、自治区有关土地、矿产资源的法律、法规、规章和政策。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2.组织和实施对察布查尔县执行土地、矿产资源法律、法规、规章情况的巡查，及时发现和制止土地、矿产资源违法行为。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3.依法组织和实施察布查尔县重大土地、矿产资源违法案件的调查、取证、现场勘验工作。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4.负责察布查尔县重大土地、矿产资源违法案件查处。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察布查尔锡伯自治县国土资源执法监察大队</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下设</w:t>
      </w:r>
      <w:r>
        <w:rPr>
          <w:rFonts w:hint="eastAsia" w:ascii="仿宋_GB2312" w:hAnsi="黑体" w:eastAsia="仿宋_GB2312" w:cs="宋体"/>
          <w:bCs/>
          <w:color w:val="auto"/>
          <w:kern w:val="0"/>
          <w:sz w:val="32"/>
          <w:szCs w:val="32"/>
          <w:highlight w:val="none"/>
          <w:lang w:val="en-US" w:eastAsia="zh-CN"/>
        </w:rPr>
        <w:t>1个处</w:t>
      </w:r>
      <w:r>
        <w:rPr>
          <w:rFonts w:hint="eastAsia" w:ascii="仿宋_GB2312" w:hAnsi="黑体" w:eastAsia="仿宋_GB2312" w:cs="宋体"/>
          <w:bCs/>
          <w:color w:val="auto"/>
          <w:kern w:val="0"/>
          <w:sz w:val="32"/>
          <w:szCs w:val="32"/>
          <w:highlight w:val="none"/>
          <w:lang w:eastAsia="zh-CN"/>
        </w:rPr>
        <w:t>室，分别是：综合办公室</w:t>
      </w:r>
      <w:bookmarkStart w:id="48" w:name="_GoBack"/>
      <w:bookmarkEnd w:id="48"/>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45万元，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93.45万元，使用非财政拨款结余0.00万元，年初结转和结余0.00万元。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93.45万元，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93.45万元，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减少8.41万元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下降8.25%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人员退休，人员调出，经费减少，2022年度年初有上年结余资金，本年度年初无结余资金。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93.45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93.43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本年支出93.45万元，其中：基本支出74.45万元，占79.67%；项目支出19.00万元，占20.33%；上缴上级支出0.00万元，占0.00%；经营支出0.00万元，占0.00%；对附属单位补助支出0.00万元，占0.00%。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减少8.39万元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下降8.24%，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人员退休，人员调出，经费减少。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万元，预决算差异率15.69%，主要原因是：</w:t>
      </w:r>
      <w:r>
        <w:rPr>
          <w:rFonts w:hint="eastAsia" w:ascii="仿宋_GB2312" w:eastAsia="仿宋_GB2312"/>
          <w:color w:val="auto"/>
          <w:spacing w:val="0"/>
          <w:sz w:val="32"/>
          <w:szCs w:val="32"/>
          <w:highlight w:val="none"/>
          <w:lang w:val="en-US" w:eastAsia="zh-CN"/>
        </w:rPr>
        <w:t>本年度公务员的工资、津贴等预算资金、上年度绩效考核奖金、调资增资追加等经费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2023年度一般公共预算财政拨款支出93.43万元，占本年支出合计的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减少8.39万元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下降8.24%，</w:t>
      </w:r>
      <w:r>
        <w:rPr>
          <w:rFonts w:hint="eastAsia" w:ascii="仿宋_GB2312" w:eastAsia="仿宋_GB2312"/>
          <w:color w:val="auto"/>
          <w:spacing w:val="0"/>
          <w:sz w:val="32"/>
          <w:szCs w:val="32"/>
          <w:highlight w:val="none"/>
          <w:lang w:eastAsia="zh-CN"/>
        </w:rPr>
        <w:t>主要原因是：在职</w:t>
      </w:r>
      <w:r>
        <w:rPr>
          <w:rFonts w:hint="eastAsia" w:ascii="仿宋_GB2312" w:eastAsia="仿宋_GB2312"/>
          <w:color w:val="auto"/>
          <w:spacing w:val="0"/>
          <w:sz w:val="32"/>
          <w:szCs w:val="32"/>
          <w:highlight w:val="none"/>
          <w:lang w:val="en-US" w:eastAsia="zh-CN"/>
        </w:rPr>
        <w:t>人员退休，人员调出，经费减少。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93.43</w:t>
      </w:r>
      <w:r>
        <w:rPr>
          <w:rFonts w:hint="eastAsia" w:ascii="仿宋_GB2312" w:eastAsia="仿宋_GB2312"/>
          <w:color w:val="auto"/>
          <w:spacing w:val="0"/>
          <w:sz w:val="32"/>
          <w:szCs w:val="32"/>
          <w:highlight w:val="none"/>
          <w:lang w:eastAsia="zh-CN"/>
        </w:rPr>
        <w:t>万元，预决算</w:t>
      </w:r>
      <w:r>
        <w:rPr>
          <w:rFonts w:hint="eastAsia" w:ascii="仿宋_GB2312" w:eastAsia="仿宋_GB2312"/>
          <w:color w:val="auto"/>
          <w:spacing w:val="0"/>
          <w:sz w:val="32"/>
          <w:szCs w:val="32"/>
          <w:highlight w:val="none"/>
          <w:lang w:val="zh-CN" w:eastAsia="zh-CN"/>
        </w:rPr>
        <w:t>差异率15.69%，主要原因是：</w:t>
      </w:r>
      <w:r>
        <w:rPr>
          <w:rFonts w:hint="eastAsia" w:ascii="仿宋_GB2312" w:eastAsia="仿宋_GB2312"/>
          <w:color w:val="auto"/>
          <w:spacing w:val="0"/>
          <w:sz w:val="32"/>
          <w:szCs w:val="32"/>
          <w:highlight w:val="none"/>
          <w:lang w:val="en-US" w:eastAsia="zh-CN"/>
        </w:rPr>
        <w:t>本年度新招录公务员的工资、津贴预算款、上年度绩效考核奖金、调资增资追加经费款项等</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67.61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72.36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24.98%，主要原因是：人员调出</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行政事业单位医疗金额减少导致支出相应减少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16.23%，主要原因是：</w:t>
      </w:r>
      <w:r>
        <w:rPr>
          <w:rFonts w:hint="eastAsia" w:ascii="Times New Roman" w:hAnsi="Times New Roman" w:eastAsia="仿宋_GB2312" w:cs="Times New Roman"/>
          <w:color w:val="auto"/>
          <w:kern w:val="2"/>
          <w:sz w:val="32"/>
          <w:szCs w:val="32"/>
          <w:highlight w:val="none"/>
          <w:lang w:val="zh-CN" w:eastAsia="zh-CN" w:bidi="ar-SA"/>
        </w:rPr>
        <w:t>人员调出</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公务员医疗补助减少导致支出相应减少。</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8.52%，主要原因是：</w:t>
      </w:r>
      <w:r>
        <w:rPr>
          <w:rFonts w:hint="eastAsia" w:eastAsia="仿宋_GB2312" w:cs="Times New Roman"/>
          <w:color w:val="auto"/>
          <w:kern w:val="2"/>
          <w:sz w:val="32"/>
          <w:szCs w:val="32"/>
          <w:highlight w:val="none"/>
          <w:lang w:val="zh-CN" w:eastAsia="zh-CN" w:bidi="ar-SA"/>
        </w:rPr>
        <w:t>办案经费减少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4.自然资源海洋气象等支出（类）自然资源事务（款）行政运行（项）:支出决算数为48.61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17.83%，主要原因是：</w:t>
      </w:r>
      <w:r>
        <w:rPr>
          <w:rFonts w:hint="eastAsia" w:eastAsia="仿宋_GB2312" w:cs="Times New Roman"/>
          <w:color w:val="auto"/>
          <w:kern w:val="2"/>
          <w:sz w:val="32"/>
          <w:szCs w:val="32"/>
          <w:highlight w:val="none"/>
          <w:lang w:val="en-US" w:eastAsia="zh-CN" w:bidi="ar-SA"/>
        </w:rPr>
        <w:t>人员退休，</w:t>
      </w:r>
      <w:r>
        <w:rPr>
          <w:rFonts w:hint="eastAsia" w:ascii="Times New Roman" w:hAnsi="Times New Roman" w:eastAsia="仿宋_GB2312" w:cs="Times New Roman"/>
          <w:color w:val="auto"/>
          <w:kern w:val="2"/>
          <w:sz w:val="32"/>
          <w:szCs w:val="32"/>
          <w:highlight w:val="none"/>
          <w:lang w:val="zh-CN" w:eastAsia="zh-CN" w:bidi="ar-SA"/>
        </w:rPr>
        <w:t>人员调出</w:t>
      </w:r>
      <w:r>
        <w:rPr>
          <w:rFonts w:hint="eastAsia" w:eastAsia="仿宋_GB2312" w:cs="Times New Roman"/>
          <w:color w:val="auto"/>
          <w:kern w:val="2"/>
          <w:sz w:val="32"/>
          <w:szCs w:val="32"/>
          <w:highlight w:val="none"/>
          <w:lang w:val="zh-CN" w:eastAsia="zh-CN" w:bidi="ar-SA"/>
        </w:rPr>
        <w:t>，经费减少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19.41%，主要原因是：</w:t>
      </w:r>
      <w:r>
        <w:rPr>
          <w:rFonts w:hint="eastAsia" w:eastAsia="仿宋_GB2312" w:cs="Times New Roman"/>
          <w:color w:val="auto"/>
          <w:kern w:val="2"/>
          <w:sz w:val="32"/>
          <w:szCs w:val="32"/>
          <w:highlight w:val="none"/>
          <w:lang w:val="en-US" w:eastAsia="zh-CN" w:bidi="ar-SA"/>
        </w:rPr>
        <w:t>人员退休，公积金缴纳减少，导致支出相应减少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39.00%，主要原因是：</w:t>
      </w:r>
      <w:r>
        <w:rPr>
          <w:rFonts w:hint="eastAsia" w:ascii="Times New Roman" w:hAnsi="Times New Roman" w:eastAsia="仿宋_GB2312" w:cs="Times New Roman"/>
          <w:color w:val="auto"/>
          <w:kern w:val="2"/>
          <w:sz w:val="32"/>
          <w:szCs w:val="32"/>
          <w:highlight w:val="none"/>
          <w:lang w:val="zh-CN" w:eastAsia="zh-CN" w:bidi="ar-SA"/>
        </w:rPr>
        <w:t>察布查尔锡伯自治县国土资源执法监察大队增加退休人员</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2022年度无职业年金收支</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19.41%，主要原因是：</w:t>
      </w:r>
      <w:r>
        <w:rPr>
          <w:rFonts w:hint="eastAsia" w:ascii="Times New Roman" w:hAnsi="Times New Roman" w:eastAsia="仿宋_GB2312" w:cs="Times New Roman"/>
          <w:color w:val="auto"/>
          <w:kern w:val="2"/>
          <w:sz w:val="32"/>
          <w:szCs w:val="32"/>
          <w:highlight w:val="none"/>
          <w:lang w:val="zh-CN" w:eastAsia="zh-CN" w:bidi="ar-SA"/>
        </w:rPr>
        <w:t>察布查尔锡伯自治县国土资源执法监察大队增加退休人员，</w:t>
      </w:r>
      <w:r>
        <w:rPr>
          <w:rFonts w:hint="eastAsia" w:eastAsia="仿宋_GB2312" w:cs="Times New Roman"/>
          <w:color w:val="auto"/>
          <w:kern w:val="2"/>
          <w:sz w:val="32"/>
          <w:szCs w:val="32"/>
          <w:highlight w:val="none"/>
          <w:lang w:val="zh-CN" w:eastAsia="zh-CN" w:bidi="ar-SA"/>
        </w:rPr>
        <w:t>，人员调出，</w:t>
      </w:r>
      <w:r>
        <w:rPr>
          <w:rFonts w:hint="eastAsia" w:ascii="Times New Roman" w:hAnsi="Times New Roman" w:eastAsia="仿宋_GB2312" w:cs="Times New Roman"/>
          <w:color w:val="auto"/>
          <w:kern w:val="2"/>
          <w:sz w:val="32"/>
          <w:szCs w:val="32"/>
          <w:highlight w:val="none"/>
          <w:lang w:val="en-US" w:eastAsia="zh-CN" w:bidi="ar-SA"/>
        </w:rPr>
        <w:t>基本养老保险缴费支出</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74.43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70.48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2023年度财政拨款“三公”经费支出0.00万元，比上年增加0.00万元，增长0.00%，主要原因是：本年度本单位无因公出国（境）费、无车辆运行维护费、无公务接待费。其中：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辆，与公务用车保有量差异原因是：我单位固定资产车辆为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、其他用车</w:t>
      </w:r>
      <w:r>
        <w:rPr>
          <w:rFonts w:hint="eastAsia" w:ascii="仿宋_GB2312" w:eastAsia="仿宋_GB2312"/>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0.00万元，决算数0.00万元，预决算差异率0.00%，主要原因是：我单位无公务用车运行维护费；公务接待费全年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察布查尔锡伯自治县国土资源执法监察大队（行政单位和参照公务员法管理事业单位）机关运行经费支出3.95万元，比上年减少0.89万元，下降18.44%，主要原因是：人员</w:t>
      </w:r>
      <w:r>
        <w:rPr>
          <w:rFonts w:hint="eastAsia" w:eastAsia="仿宋_GB2312" w:cs="Times New Roman"/>
          <w:color w:val="auto"/>
          <w:sz w:val="32"/>
          <w:szCs w:val="32"/>
          <w:highlight w:val="none"/>
          <w:lang w:val="en-US" w:eastAsia="zh-CN"/>
        </w:rPr>
        <w:t>退休，支出</w:t>
      </w:r>
      <w:r>
        <w:rPr>
          <w:rFonts w:hint="eastAsia" w:ascii="Times New Roman" w:hAnsi="Times New Roman" w:eastAsia="仿宋_GB2312" w:cs="Times New Roman"/>
          <w:color w:val="auto"/>
          <w:sz w:val="32"/>
          <w:szCs w:val="32"/>
          <w:highlight w:val="none"/>
          <w:lang w:val="en-US" w:eastAsia="zh-CN"/>
        </w:rPr>
        <w:t>邮电费减少。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65.60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屋82.74平方米，价值21.84万元。车辆2辆，价值27.96万元，其中：副部（省）级及以上领导用车0辆、主要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用车0辆、其他用车1辆，其他用车主要是：日常事务及其他相关工作用车；单价100万元（含）以上设备（不含车辆）0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332010"/>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B13CE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683BC4"/>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26A34"/>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CB6280"/>
    <w:rsid w:val="3389023A"/>
    <w:rsid w:val="33CB74FA"/>
    <w:rsid w:val="33CC501C"/>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175FD4"/>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F70AAB"/>
    <w:rsid w:val="46061BDC"/>
    <w:rsid w:val="461404F8"/>
    <w:rsid w:val="46413018"/>
    <w:rsid w:val="464B7E04"/>
    <w:rsid w:val="468041AA"/>
    <w:rsid w:val="468123C6"/>
    <w:rsid w:val="46901EEE"/>
    <w:rsid w:val="469C74D2"/>
    <w:rsid w:val="47445515"/>
    <w:rsid w:val="474B4782"/>
    <w:rsid w:val="47D90D14"/>
    <w:rsid w:val="48256D81"/>
    <w:rsid w:val="48387FB0"/>
    <w:rsid w:val="483A6114"/>
    <w:rsid w:val="488727DB"/>
    <w:rsid w:val="48B82268"/>
    <w:rsid w:val="48C354B3"/>
    <w:rsid w:val="491D364F"/>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C712C4"/>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8E3802"/>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D20D88"/>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5611</Words>
  <Characters>6191</Characters>
  <Lines>0</Lines>
  <Paragraphs>0</Paragraphs>
  <TotalTime>0</TotalTime>
  <ScaleCrop>false</ScaleCrop>
  <LinksUpToDate>false</LinksUpToDate>
  <CharactersWithSpaces>6206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2024-09-08T00:49:09Z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