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C9863">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558ABEC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EBA7F2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尼勒克县国土资源执法监察大队</w:t>
      </w:r>
    </w:p>
    <w:p w14:paraId="480AA4B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47DF971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35753C9">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C96C8E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4A39B3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C5E34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148D1B0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504AE6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FDA610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C0D879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1B40C4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67504A2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39D628E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5555B1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E7DC08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B56EB3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658B1AE">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5E735B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149090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F9C1F8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6492E72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660CE0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0E452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5914B3B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2985003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4CDE2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C2DACA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8336CE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C1FFE1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A5658F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3AFC3D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5E01D1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180FCEE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2248D07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4085EEF9">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25A0BCC">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75FBD3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386358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660039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sz w:val="32"/>
          <w:szCs w:val="32"/>
        </w:rPr>
        <w:t>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2、组织和实施对全市执行土地、矿产资源法律、法规、规章情况的巡查，及时发现和制止土地、矿产资源违法行为。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3、依法组织和实施霍尔果斯市重大土地、矿产资源违法案件的调查、取证、现场勘验工作，并进行查处。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4、负责霍尔果斯市重大土地、矿产资源违法案件查处决定的督办。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color w:val="auto"/>
          <w:sz w:val="32"/>
          <w:szCs w:val="32"/>
          <w:highlight w:val="none"/>
        </w:rPr>
        <w:t>。</w:t>
      </w:r>
    </w:p>
    <w:p w14:paraId="563C60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85525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尼勒克县国土资源执法监察大队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76D9D956">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2E6A10BF">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1F9CA6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597CA7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65F509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114.47万元，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114.47万元，使用非财政拨款结余0.00万元，年初结转和结余0.00万元。</w:t>
      </w:r>
    </w:p>
    <w:p w14:paraId="3E77E7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114.47万元，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114.47万元，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1CFDA2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增加17.91万元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增长18.55%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人员调资增资追加经费</w:t>
      </w:r>
      <w:r>
        <w:rPr>
          <w:rFonts w:hint="eastAsia" w:ascii="仿宋_GB2312" w:eastAsia="仿宋_GB2312"/>
          <w:sz w:val="32"/>
          <w:szCs w:val="32"/>
          <w:lang w:val="en-US" w:eastAsia="zh-CN"/>
        </w:rPr>
        <w:t>及养老、医疗、公积金基数调整导致单位缴费增加</w:t>
      </w:r>
      <w:r>
        <w:rPr>
          <w:rFonts w:hint="eastAsia" w:ascii="仿宋_GB2312" w:eastAsia="仿宋_GB2312"/>
          <w:color w:val="auto"/>
          <w:spacing w:val="0"/>
          <w:sz w:val="32"/>
          <w:szCs w:val="32"/>
          <w:highlight w:val="none"/>
          <w:lang w:eastAsia="zh-CN"/>
        </w:rPr>
        <w:t>。</w:t>
      </w:r>
    </w:p>
    <w:p w14:paraId="7380FF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4D2632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114.47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114.45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5D7410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768FA0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本年支出114.47万元，其中：基本支出90.47万元，占79.03%；项目支出24.00万元，占20.97%；上缴上级支出0.00万元，占0.00%；经营支出0.00万元，占0.00%；对附属单位补助支出0.00万元，占0.00%。</w:t>
      </w:r>
    </w:p>
    <w:p w14:paraId="49A294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7C8C88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114.45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114.45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114.45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转和结余</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0.00</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本年财政拨款支出</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114.45</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p>
    <w:p w14:paraId="508190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000000" w:themeColor="text1"/>
          <w:spacing w:val="0"/>
          <w:sz w:val="32"/>
          <w:szCs w:val="32"/>
          <w:highlight w:val="none"/>
          <w:lang w:eastAsia="zh-CN"/>
          <w14:textFill>
            <w14:solidFill>
              <w14:schemeClr w14:val="tx1"/>
            </w14:solidFill>
          </w14:textFill>
        </w:rPr>
        <w:t>财政拨款收入支出总体与上年相比</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增加17.90万元</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增长18.54%</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人员调资增资追加经费</w:t>
      </w:r>
      <w:r>
        <w:rPr>
          <w:rFonts w:hint="eastAsia" w:ascii="仿宋_GB2312" w:eastAsia="仿宋_GB2312"/>
          <w:sz w:val="32"/>
          <w:szCs w:val="32"/>
          <w:lang w:val="en-US" w:eastAsia="zh-CN"/>
        </w:rPr>
        <w:t>及养老、医疗、公积金基数调整导致单位缴费增加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106.40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114.45</w:t>
      </w:r>
      <w:r>
        <w:rPr>
          <w:rFonts w:hint="eastAsia" w:ascii="仿宋_GB2312" w:eastAsia="仿宋_GB2312"/>
          <w:color w:val="auto"/>
          <w:spacing w:val="0"/>
          <w:sz w:val="32"/>
          <w:szCs w:val="32"/>
          <w:highlight w:val="none"/>
          <w:lang w:eastAsia="zh-CN"/>
        </w:rPr>
        <w:t>万元，预决算差异率7.57%，主要原因是：</w:t>
      </w:r>
      <w:r>
        <w:rPr>
          <w:rFonts w:hint="eastAsia" w:ascii="仿宋_GB2312" w:eastAsia="仿宋_GB2312"/>
          <w:sz w:val="32"/>
          <w:szCs w:val="32"/>
        </w:rPr>
        <w:t>人员调资增资</w:t>
      </w:r>
      <w:r>
        <w:rPr>
          <w:rFonts w:hint="eastAsia" w:ascii="仿宋_GB2312" w:eastAsia="仿宋_GB2312"/>
          <w:sz w:val="32"/>
          <w:szCs w:val="32"/>
          <w:lang w:val="en-US" w:eastAsia="zh-CN"/>
        </w:rPr>
        <w:t>及在职、退休人员年度绩效</w:t>
      </w:r>
      <w:r>
        <w:rPr>
          <w:rFonts w:hint="eastAsia" w:ascii="仿宋_GB2312" w:eastAsia="仿宋_GB2312"/>
          <w:sz w:val="32"/>
          <w:szCs w:val="32"/>
        </w:rPr>
        <w:t>追加经费</w:t>
      </w:r>
      <w:r>
        <w:rPr>
          <w:rFonts w:hint="eastAsia" w:ascii="仿宋_GB2312" w:eastAsia="仿宋_GB2312"/>
          <w:color w:val="auto"/>
          <w:spacing w:val="0"/>
          <w:sz w:val="32"/>
          <w:szCs w:val="32"/>
          <w:highlight w:val="none"/>
          <w:lang w:eastAsia="zh-CN"/>
        </w:rPr>
        <w:t>。</w:t>
      </w:r>
    </w:p>
    <w:p w14:paraId="5393FD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A1964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F7FBF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2023年度一般公共预算财政拨款支出114.45万元，占本年支出合计的</w:t>
      </w:r>
      <w:r>
        <w:rPr>
          <w:rFonts w:hint="eastAsia" w:ascii="仿宋_GB2312" w:eastAsia="仿宋_GB2312"/>
          <w:color w:val="auto"/>
          <w:spacing w:val="0"/>
          <w:sz w:val="32"/>
          <w:szCs w:val="32"/>
          <w:highlight w:val="none"/>
          <w:lang w:val="zh-CN" w:eastAsia="zh-CN"/>
        </w:rPr>
        <w:t>99.98%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增加17.90万元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增长18.54%，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人员调资增资追加经费</w:t>
      </w:r>
      <w:r>
        <w:rPr>
          <w:rFonts w:hint="eastAsia" w:ascii="仿宋_GB2312" w:eastAsia="仿宋_GB2312"/>
          <w:sz w:val="32"/>
          <w:szCs w:val="32"/>
          <w:lang w:val="en-US" w:eastAsia="zh-CN"/>
        </w:rPr>
        <w:t>及养老、医疗、公积金基数调整导致单位缴费增加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106.40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114.45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7.57%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人员调资增资</w:t>
      </w:r>
      <w:r>
        <w:rPr>
          <w:rFonts w:hint="eastAsia" w:ascii="仿宋_GB2312" w:eastAsia="仿宋_GB2312"/>
          <w:sz w:val="32"/>
          <w:szCs w:val="32"/>
          <w:lang w:val="en-US" w:eastAsia="zh-CN"/>
        </w:rPr>
        <w:t>及在职、退休人员年度绩效</w:t>
      </w:r>
      <w:r>
        <w:rPr>
          <w:rFonts w:hint="eastAsia" w:ascii="仿宋_GB2312" w:eastAsia="仿宋_GB2312"/>
          <w:sz w:val="32"/>
          <w:szCs w:val="32"/>
        </w:rPr>
        <w:t>追加经费</w:t>
      </w:r>
      <w:r>
        <w:rPr>
          <w:rFonts w:hint="eastAsia" w:ascii="仿宋_GB2312" w:eastAsia="仿宋_GB2312"/>
          <w:color w:val="auto"/>
          <w:spacing w:val="0"/>
          <w:sz w:val="32"/>
          <w:szCs w:val="32"/>
          <w:highlight w:val="none"/>
          <w:lang w:eastAsia="zh-CN"/>
        </w:rPr>
        <w:t>。</w:t>
      </w:r>
    </w:p>
    <w:p w14:paraId="601429AE">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C4711F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8.87</w:t>
      </w:r>
      <w:r>
        <w:rPr>
          <w:rFonts w:hint="default" w:ascii="仿宋_GB2312" w:hAnsi="Times New Roman" w:eastAsia="仿宋_GB2312" w:cs="Times New Roman"/>
          <w:color w:val="auto"/>
          <w:spacing w:val="0"/>
          <w:kern w:val="2"/>
          <w:sz w:val="32"/>
          <w:szCs w:val="32"/>
          <w:highlight w:val="none"/>
          <w:lang w:val="zh-CN" w:eastAsia="zh-CN" w:bidi="ar-SA"/>
        </w:rPr>
        <w:t>%；</w:t>
      </w:r>
    </w:p>
    <w:p w14:paraId="731AF39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6.62</w:t>
      </w:r>
      <w:r>
        <w:rPr>
          <w:rFonts w:hint="default" w:ascii="仿宋_GB2312" w:hAnsi="Times New Roman" w:eastAsia="仿宋_GB2312" w:cs="Times New Roman"/>
          <w:color w:val="auto"/>
          <w:spacing w:val="0"/>
          <w:kern w:val="2"/>
          <w:sz w:val="32"/>
          <w:szCs w:val="32"/>
          <w:highlight w:val="none"/>
          <w:lang w:val="zh-CN" w:eastAsia="zh-CN" w:bidi="ar-SA"/>
        </w:rPr>
        <w:t>%；</w:t>
      </w:r>
    </w:p>
    <w:p w14:paraId="09E1DA5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90.68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79.23</w:t>
      </w:r>
      <w:r>
        <w:rPr>
          <w:rFonts w:hint="default" w:ascii="仿宋_GB2312" w:hAnsi="Times New Roman" w:eastAsia="仿宋_GB2312" w:cs="Times New Roman"/>
          <w:color w:val="auto"/>
          <w:spacing w:val="0"/>
          <w:kern w:val="2"/>
          <w:sz w:val="32"/>
          <w:szCs w:val="32"/>
          <w:highlight w:val="none"/>
          <w:lang w:val="zh-CN" w:eastAsia="zh-CN" w:bidi="ar-SA"/>
        </w:rPr>
        <w:t>%；</w:t>
      </w:r>
    </w:p>
    <w:p w14:paraId="005EB39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6.04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5.28</w:t>
      </w:r>
      <w:r>
        <w:rPr>
          <w:rFonts w:hint="default" w:ascii="仿宋_GB2312" w:hAnsi="Times New Roman" w:eastAsia="仿宋_GB2312" w:cs="Times New Roman"/>
          <w:color w:val="auto"/>
          <w:spacing w:val="0"/>
          <w:kern w:val="2"/>
          <w:sz w:val="32"/>
          <w:szCs w:val="32"/>
          <w:highlight w:val="none"/>
          <w:lang w:val="zh-CN" w:eastAsia="zh-CN" w:bidi="ar-SA"/>
        </w:rPr>
        <w:t>%；</w:t>
      </w:r>
    </w:p>
    <w:p w14:paraId="75E849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4943D8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65.69%，主要原因是：</w:t>
      </w:r>
      <w:r>
        <w:rPr>
          <w:rFonts w:hint="eastAsia" w:eastAsia="仿宋_GB2312" w:cs="Times New Roman"/>
          <w:color w:val="auto"/>
          <w:kern w:val="2"/>
          <w:sz w:val="32"/>
          <w:szCs w:val="32"/>
          <w:highlight w:val="none"/>
          <w:lang w:val="en-US" w:eastAsia="zh-CN" w:bidi="ar-SA"/>
        </w:rPr>
        <w:t>在职</w:t>
      </w:r>
      <w:r>
        <w:rPr>
          <w:rFonts w:hint="eastAsia" w:ascii="仿宋_GB2312" w:eastAsia="仿宋_GB2312"/>
          <w:sz w:val="32"/>
          <w:szCs w:val="32"/>
        </w:rPr>
        <w:t>人员医疗保险基数</w:t>
      </w:r>
      <w:r>
        <w:rPr>
          <w:rFonts w:hint="eastAsia" w:ascii="仿宋_GB2312" w:eastAsia="仿宋_GB2312"/>
          <w:sz w:val="32"/>
          <w:szCs w:val="32"/>
          <w:lang w:val="en-US" w:eastAsia="zh-CN"/>
        </w:rPr>
        <w:t>调整</w:t>
      </w:r>
      <w:r>
        <w:rPr>
          <w:rFonts w:hint="eastAsia" w:ascii="仿宋_GB2312" w:eastAsia="仿宋_GB2312"/>
          <w:sz w:val="32"/>
          <w:szCs w:val="32"/>
        </w:rPr>
        <w:t>，</w:t>
      </w:r>
      <w:r>
        <w:rPr>
          <w:rFonts w:hint="eastAsia" w:ascii="仿宋_GB2312" w:eastAsia="仿宋_GB2312"/>
          <w:sz w:val="32"/>
          <w:szCs w:val="32"/>
          <w:lang w:val="en-US" w:eastAsia="zh-CN"/>
        </w:rPr>
        <w:t>单位缴费增加，导致支出增加。</w:t>
      </w:r>
    </w:p>
    <w:p w14:paraId="280EC403">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85.25%，主要原因是：</w:t>
      </w:r>
      <w:r>
        <w:rPr>
          <w:rFonts w:hint="eastAsia" w:ascii="仿宋_GB2312" w:eastAsia="仿宋_GB2312"/>
          <w:sz w:val="32"/>
          <w:szCs w:val="32"/>
        </w:rPr>
        <w:t>在职人员公务员医疗补助按照年龄划分缴纳费用，</w:t>
      </w:r>
      <w:r>
        <w:rPr>
          <w:rFonts w:hint="eastAsia" w:ascii="仿宋_GB2312" w:eastAsia="仿宋_GB2312"/>
          <w:sz w:val="32"/>
          <w:szCs w:val="32"/>
          <w:lang w:val="en-US" w:eastAsia="zh-CN"/>
        </w:rPr>
        <w:t>逐步递增</w:t>
      </w:r>
      <w:r>
        <w:rPr>
          <w:rFonts w:hint="eastAsia" w:ascii="仿宋_GB2312" w:eastAsia="仿宋_GB2312"/>
          <w:sz w:val="32"/>
          <w:szCs w:val="32"/>
        </w:rPr>
        <w:t>，导致支出相应</w:t>
      </w:r>
      <w:r>
        <w:rPr>
          <w:rFonts w:hint="eastAsia" w:ascii="仿宋_GB2312" w:eastAsia="仿宋_GB2312"/>
          <w:sz w:val="32"/>
          <w:szCs w:val="32"/>
          <w:lang w:val="en-US" w:eastAsia="zh-CN"/>
        </w:rPr>
        <w:t>增加</w:t>
      </w:r>
      <w:r>
        <w:rPr>
          <w:rFonts w:hint="eastAsia" w:eastAsia="仿宋_GB2312" w:cs="Times New Roman"/>
          <w:color w:val="auto"/>
          <w:kern w:val="2"/>
          <w:sz w:val="32"/>
          <w:szCs w:val="32"/>
          <w:highlight w:val="none"/>
          <w:lang w:val="zh-CN" w:eastAsia="zh-CN" w:bidi="ar-SA"/>
        </w:rPr>
        <w:t>。</w:t>
      </w:r>
    </w:p>
    <w:p w14:paraId="6FF187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4.50%，主要原因是：</w:t>
      </w:r>
      <w:r>
        <w:rPr>
          <w:rFonts w:hint="eastAsia" w:ascii="仿宋_GB2312" w:eastAsia="仿宋_GB2312"/>
          <w:color w:val="000000" w:themeColor="text1"/>
          <w:sz w:val="32"/>
          <w:szCs w:val="32"/>
          <w14:textFill>
            <w14:solidFill>
              <w14:schemeClr w14:val="tx1"/>
            </w14:solidFill>
          </w14:textFill>
        </w:rPr>
        <w:t>大力开展</w:t>
      </w:r>
      <w:r>
        <w:rPr>
          <w:rFonts w:hint="eastAsia" w:ascii="仿宋_GB2312" w:eastAsia="仿宋_GB2312"/>
          <w:color w:val="000000" w:themeColor="text1"/>
          <w:sz w:val="32"/>
          <w:szCs w:val="32"/>
          <w:lang w:val="en-US" w:eastAsia="zh-CN"/>
          <w14:textFill>
            <w14:solidFill>
              <w14:schemeClr w14:val="tx1"/>
            </w14:solidFill>
          </w14:textFill>
        </w:rPr>
        <w:t>安全生产整治</w:t>
      </w:r>
      <w:r>
        <w:rPr>
          <w:rFonts w:hint="eastAsia" w:ascii="仿宋_GB2312" w:eastAsia="仿宋_GB2312"/>
          <w:color w:val="000000" w:themeColor="text1"/>
          <w:sz w:val="32"/>
          <w:szCs w:val="32"/>
          <w14:textFill>
            <w14:solidFill>
              <w14:schemeClr w14:val="tx1"/>
            </w14:solidFill>
          </w14:textFill>
        </w:rPr>
        <w:t>专项工作，执法业务工作费用增加，支出</w:t>
      </w:r>
      <w:r>
        <w:rPr>
          <w:rFonts w:hint="eastAsia" w:ascii="仿宋_GB2312" w:eastAsia="仿宋_GB2312"/>
          <w:sz w:val="32"/>
          <w:szCs w:val="32"/>
        </w:rPr>
        <w:t>增加</w:t>
      </w:r>
      <w:r>
        <w:rPr>
          <w:rFonts w:hint="eastAsia" w:eastAsia="仿宋_GB2312" w:cs="Times New Roman"/>
          <w:color w:val="auto"/>
          <w:kern w:val="2"/>
          <w:sz w:val="32"/>
          <w:szCs w:val="32"/>
          <w:highlight w:val="none"/>
          <w:lang w:val="zh-CN" w:eastAsia="zh-CN" w:bidi="ar-SA"/>
        </w:rPr>
        <w:t>。</w:t>
      </w:r>
    </w:p>
    <w:p w14:paraId="7262A1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4.自然资源海洋气象等支出（类）自然资源事务（款）行政运行（项）:支出决算数为66.68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14.12%，主要原因是：</w:t>
      </w:r>
      <w:r>
        <w:rPr>
          <w:rFonts w:hint="eastAsia" w:eastAsia="仿宋_GB2312" w:cs="Times New Roman"/>
          <w:color w:val="auto"/>
          <w:kern w:val="2"/>
          <w:sz w:val="32"/>
          <w:szCs w:val="32"/>
          <w:highlight w:val="none"/>
          <w:lang w:val="en-US" w:eastAsia="zh-CN" w:bidi="ar-SA"/>
        </w:rPr>
        <w:t>人员工资调整，支出增加</w:t>
      </w:r>
      <w:r>
        <w:rPr>
          <w:rFonts w:hint="eastAsia" w:eastAsia="仿宋_GB2312" w:cs="Times New Roman"/>
          <w:color w:val="auto"/>
          <w:kern w:val="2"/>
          <w:sz w:val="32"/>
          <w:szCs w:val="32"/>
          <w:highlight w:val="none"/>
          <w:lang w:val="zh-CN" w:eastAsia="zh-CN" w:bidi="ar-SA"/>
        </w:rPr>
        <w:t>。</w:t>
      </w:r>
    </w:p>
    <w:p w14:paraId="3408B31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78.63%，主要原因是：</w:t>
      </w:r>
      <w:r>
        <w:rPr>
          <w:rFonts w:hint="eastAsia" w:ascii="仿宋_GB2312" w:eastAsia="仿宋_GB2312"/>
          <w:sz w:val="32"/>
          <w:szCs w:val="32"/>
        </w:rPr>
        <w:t>人员</w:t>
      </w:r>
      <w:r>
        <w:rPr>
          <w:rFonts w:hint="eastAsia" w:ascii="仿宋_GB2312" w:eastAsia="仿宋_GB2312"/>
          <w:sz w:val="32"/>
          <w:szCs w:val="32"/>
          <w:lang w:val="en-US" w:eastAsia="zh-CN"/>
        </w:rPr>
        <w:t>住房公积金</w:t>
      </w:r>
      <w:r>
        <w:rPr>
          <w:rFonts w:hint="eastAsia" w:ascii="仿宋_GB2312" w:eastAsia="仿宋_GB2312"/>
          <w:sz w:val="32"/>
          <w:szCs w:val="32"/>
        </w:rPr>
        <w:t>基数</w:t>
      </w:r>
      <w:r>
        <w:rPr>
          <w:rFonts w:hint="eastAsia" w:ascii="仿宋_GB2312" w:eastAsia="仿宋_GB2312"/>
          <w:sz w:val="32"/>
          <w:szCs w:val="32"/>
          <w:lang w:val="en-US" w:eastAsia="zh-CN"/>
        </w:rPr>
        <w:t>调整，单位缴费增加</w:t>
      </w:r>
      <w:r>
        <w:rPr>
          <w:rFonts w:hint="eastAsia" w:ascii="仿宋_GB2312" w:eastAsia="仿宋_GB2312"/>
          <w:sz w:val="32"/>
          <w:szCs w:val="32"/>
        </w:rPr>
        <w:t>，</w:t>
      </w:r>
      <w:r>
        <w:rPr>
          <w:rFonts w:hint="eastAsia" w:ascii="仿宋_GB2312" w:eastAsia="仿宋_GB2312"/>
          <w:sz w:val="32"/>
          <w:szCs w:val="32"/>
          <w:lang w:val="en-US" w:eastAsia="zh-CN"/>
        </w:rPr>
        <w:t>导致</w:t>
      </w:r>
      <w:r>
        <w:rPr>
          <w:rFonts w:hint="eastAsia" w:ascii="仿宋_GB2312" w:eastAsia="仿宋_GB2312"/>
          <w:sz w:val="32"/>
          <w:szCs w:val="32"/>
        </w:rPr>
        <w:t>支出增加</w:t>
      </w:r>
      <w:r>
        <w:rPr>
          <w:rFonts w:hint="eastAsia" w:eastAsia="仿宋_GB2312" w:cs="Times New Roman"/>
          <w:color w:val="auto"/>
          <w:kern w:val="2"/>
          <w:sz w:val="32"/>
          <w:szCs w:val="32"/>
          <w:highlight w:val="none"/>
          <w:lang w:val="zh-CN" w:eastAsia="zh-CN" w:bidi="ar-SA"/>
        </w:rPr>
        <w:t>。</w:t>
      </w:r>
    </w:p>
    <w:p w14:paraId="3120FDA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FF0000"/>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6.社会保障和就业支出（类）行政事业单位养老支出（款）行政单位离退休（项）:支出决算数为2.10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27.99%，主要原因是：</w:t>
      </w:r>
      <w:r>
        <w:rPr>
          <w:rFonts w:hint="eastAsia" w:eastAsia="仿宋_GB2312" w:cs="Times New Roman"/>
          <w:color w:val="auto"/>
          <w:kern w:val="2"/>
          <w:sz w:val="32"/>
          <w:szCs w:val="32"/>
          <w:highlight w:val="none"/>
          <w:lang w:val="en-US" w:eastAsia="zh-CN" w:bidi="ar-SA"/>
        </w:rPr>
        <w:t>退休人员基本医疗保险政策变动，不再缴纳费用，导致支出减少。</w:t>
      </w:r>
    </w:p>
    <w:p w14:paraId="58259DD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7.社会保障和就业支出（类）行政事业单位养老支出（款）机关事业单位基本养老保险缴费支出（项）:支出决算数为8.05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78.63%，主要原因是：</w:t>
      </w:r>
      <w:r>
        <w:rPr>
          <w:rFonts w:hint="eastAsia" w:eastAsia="仿宋_GB2312" w:cs="Times New Roman"/>
          <w:color w:val="auto"/>
          <w:kern w:val="2"/>
          <w:sz w:val="32"/>
          <w:szCs w:val="32"/>
          <w:highlight w:val="none"/>
          <w:lang w:val="en-US" w:eastAsia="zh-CN" w:bidi="ar-SA"/>
        </w:rPr>
        <w:t>人员养老基数调整，单位缴费增加，导致支出增加</w:t>
      </w:r>
      <w:r>
        <w:rPr>
          <w:rFonts w:hint="eastAsia" w:eastAsia="仿宋_GB2312" w:cs="Times New Roman"/>
          <w:color w:val="auto"/>
          <w:kern w:val="2"/>
          <w:sz w:val="32"/>
          <w:szCs w:val="32"/>
          <w:highlight w:val="none"/>
          <w:lang w:val="zh-CN" w:eastAsia="zh-CN" w:bidi="ar-SA"/>
        </w:rPr>
        <w:t>。</w:t>
      </w:r>
    </w:p>
    <w:p w14:paraId="6EB426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6B60937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90.45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85.25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基本工资、津贴补贴、奖金、伙食补助费、机关事业单位基本养老保险缴费、职工基本医疗保险缴费、公务员医疗补助缴费、其他社会保障缴费、住房公积金、退休费、其他对个人和家庭的补助。</w:t>
      </w:r>
    </w:p>
    <w:p w14:paraId="5035D20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000000" w:themeColor="text1"/>
          <w:sz w:val="32"/>
          <w:szCs w:val="32"/>
          <w:highlight w:val="red"/>
          <w:lang w:val="en-US" w:eastAsia="zh-CN"/>
          <w14:textFill>
            <w14:solidFill>
              <w14:schemeClr w14:val="tx1"/>
            </w14:solidFill>
          </w14:textFill>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5.20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办公费、邮电费、取暖费、物业管理费、差旅费、工会经费、福利费、其他交通费用、其他商品和服务支出。</w:t>
      </w:r>
    </w:p>
    <w:p w14:paraId="63D529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65AE6A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404A6C4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6AC774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53861E2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000000" w:themeColor="text1"/>
          <w:sz w:val="32"/>
          <w:szCs w:val="32"/>
          <w14:textFill>
            <w14:solidFill>
              <w14:schemeClr w14:val="tx1"/>
            </w14:solidFill>
          </w14:textFill>
        </w:rPr>
        <w:t>我单位</w:t>
      </w:r>
      <w:r>
        <w:rPr>
          <w:rFonts w:hint="eastAsia" w:ascii="仿宋_GB2312" w:eastAsia="仿宋_GB2312"/>
          <w:color w:val="auto"/>
          <w:sz w:val="32"/>
          <w:szCs w:val="32"/>
          <w:highlight w:val="none"/>
          <w:lang w:val="en-US" w:eastAsia="zh-CN"/>
        </w:rPr>
        <w:t>固定资产车辆包括</w:t>
      </w:r>
      <w:r>
        <w:rPr>
          <w:rFonts w:hint="eastAsia" w:ascii="仿宋_GB2312" w:eastAsia="仿宋_GB2312"/>
          <w:color w:val="000000" w:themeColor="text1"/>
          <w:sz w:val="32"/>
          <w:szCs w:val="32"/>
          <w:lang w:val="en-US" w:eastAsia="zh-CN"/>
          <w14:textFill>
            <w14:solidFill>
              <w14:schemeClr w14:val="tx1"/>
            </w14:solidFill>
          </w14:textFill>
        </w:rPr>
        <w:t>1辆在编执法执勤用车、1辆不在编，属于其他执法执勤车辆</w:t>
      </w:r>
      <w:r>
        <w:rPr>
          <w:rFonts w:hint="eastAsia" w:eastAsia="仿宋_GB2312" w:cs="Times New Roman"/>
          <w:color w:val="auto"/>
          <w:sz w:val="32"/>
          <w:szCs w:val="32"/>
          <w:highlight w:val="none"/>
          <w:lang w:val="zh-CN" w:eastAsia="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000000" w:themeColor="text1"/>
          <w:sz w:val="32"/>
          <w:szCs w:val="32"/>
          <w:highlight w:val="none"/>
          <w:lang w:val="zh-CN" w:eastAsia="zh-CN"/>
          <w14:textFill>
            <w14:solidFill>
              <w14:schemeClr w14:val="tx1"/>
            </w14:solidFill>
          </w14:textFill>
        </w:rPr>
        <w:t>。</w:t>
      </w:r>
    </w:p>
    <w:p w14:paraId="259A799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63EADDE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43B927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0256145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A83CA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D01206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607E0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59D56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5A6D4E5C">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尼勒克县国土资源执法监察大队（行政单位和参照公务员法管理事业单位）机关运行经费支出5.20万元，比上年增加1.24万元，增长31.26%,主要原因是：</w:t>
      </w:r>
      <w:r>
        <w:rPr>
          <w:rFonts w:hint="eastAsia" w:eastAsia="仿宋_GB2312" w:cs="Times New Roman"/>
          <w:color w:val="auto"/>
          <w:sz w:val="32"/>
          <w:szCs w:val="32"/>
          <w:highlight w:val="none"/>
          <w:lang w:val="en-US" w:eastAsia="zh-CN"/>
        </w:rPr>
        <w:t>工作任务增加，公用经费增加</w:t>
      </w:r>
      <w:r>
        <w:rPr>
          <w:rFonts w:hint="eastAsia" w:ascii="Times New Roman" w:hAnsi="Times New Roman" w:eastAsia="仿宋_GB2312" w:cs="Times New Roman"/>
          <w:color w:val="auto"/>
          <w:sz w:val="32"/>
          <w:szCs w:val="32"/>
          <w:highlight w:val="none"/>
          <w:lang w:val="en-US" w:eastAsia="zh-CN"/>
        </w:rPr>
        <w:t>。</w:t>
      </w:r>
    </w:p>
    <w:p w14:paraId="7FC60E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37F5D7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49BF9A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326D6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453F7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70.01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屋84.75平方米，价值23.73万元。车辆2辆，价值27.97万元，其中：副部（省）级及以上领导用车0辆、主要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其他相关工作用车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4CAD77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2238870">
      <w:pPr>
        <w:ind w:firstLine="640" w:firstLineChars="200"/>
        <w:rPr>
          <w:rFonts w:hint="eastAsia" w:ascii="仿宋_GB2312" w:eastAsia="仿宋_GB2312"/>
          <w:sz w:val="32"/>
          <w:szCs w:val="32"/>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lang w:eastAsia="zh-CN"/>
        </w:rPr>
        <w:t>。</w:t>
      </w:r>
    </w:p>
    <w:p w14:paraId="566FD85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EDE377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029273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4D9A44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1BF6CC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0E0A3C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42696B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BABCED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7656E48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E90AEB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DA1877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A5F58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E4288D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174C094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229F215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6D42257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05D49AA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9B556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AF17E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5A1AFF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2AEB46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4A6AFF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02AB08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282B8D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3D37E8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2DD1FE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AAC09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D0BEE6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112E8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B965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B40E5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AB40E5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7D6E7A"/>
    <w:rsid w:val="02BD3108"/>
    <w:rsid w:val="02F73D26"/>
    <w:rsid w:val="034D4FEF"/>
    <w:rsid w:val="035D1785"/>
    <w:rsid w:val="039F47CE"/>
    <w:rsid w:val="03C618EB"/>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497A86"/>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54353A"/>
    <w:rsid w:val="0D7A4A46"/>
    <w:rsid w:val="0E640559"/>
    <w:rsid w:val="0F1113DA"/>
    <w:rsid w:val="0F78534A"/>
    <w:rsid w:val="0F89358A"/>
    <w:rsid w:val="0F8C6D51"/>
    <w:rsid w:val="10034CC7"/>
    <w:rsid w:val="105B0B5E"/>
    <w:rsid w:val="112E58D0"/>
    <w:rsid w:val="11731CAC"/>
    <w:rsid w:val="119500A0"/>
    <w:rsid w:val="11C0733B"/>
    <w:rsid w:val="11D50D17"/>
    <w:rsid w:val="120E0809"/>
    <w:rsid w:val="127F665A"/>
    <w:rsid w:val="12F7068C"/>
    <w:rsid w:val="131A2F62"/>
    <w:rsid w:val="13615886"/>
    <w:rsid w:val="14207DC0"/>
    <w:rsid w:val="14B932DA"/>
    <w:rsid w:val="150A66AF"/>
    <w:rsid w:val="154C1139"/>
    <w:rsid w:val="158C5B77"/>
    <w:rsid w:val="15A3568B"/>
    <w:rsid w:val="15CE2EC2"/>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DA0AAA"/>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001123"/>
    <w:rsid w:val="2064678E"/>
    <w:rsid w:val="20DC1AB9"/>
    <w:rsid w:val="20DD6197"/>
    <w:rsid w:val="212631E0"/>
    <w:rsid w:val="216435EB"/>
    <w:rsid w:val="21A53757"/>
    <w:rsid w:val="221236C6"/>
    <w:rsid w:val="2216377B"/>
    <w:rsid w:val="22D7662C"/>
    <w:rsid w:val="23326B7F"/>
    <w:rsid w:val="2380045B"/>
    <w:rsid w:val="23BC04D2"/>
    <w:rsid w:val="23E32EED"/>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A97585"/>
    <w:rsid w:val="29CB58F0"/>
    <w:rsid w:val="2A053397"/>
    <w:rsid w:val="2A145E96"/>
    <w:rsid w:val="2AF5378F"/>
    <w:rsid w:val="2BB94DBF"/>
    <w:rsid w:val="2BC46DE5"/>
    <w:rsid w:val="2C6F314E"/>
    <w:rsid w:val="2CC206BE"/>
    <w:rsid w:val="2CE11F94"/>
    <w:rsid w:val="2CF9108B"/>
    <w:rsid w:val="2D1136DF"/>
    <w:rsid w:val="2D20606D"/>
    <w:rsid w:val="2DB87198"/>
    <w:rsid w:val="2DB93C54"/>
    <w:rsid w:val="2E3D144C"/>
    <w:rsid w:val="2E891204"/>
    <w:rsid w:val="2EFE0BDB"/>
    <w:rsid w:val="2F3F0A28"/>
    <w:rsid w:val="2FBF7029"/>
    <w:rsid w:val="2FD0187F"/>
    <w:rsid w:val="2FD27414"/>
    <w:rsid w:val="2FFE4BB0"/>
    <w:rsid w:val="300E7B60"/>
    <w:rsid w:val="300F6E18"/>
    <w:rsid w:val="301727FF"/>
    <w:rsid w:val="30243B0D"/>
    <w:rsid w:val="306311A8"/>
    <w:rsid w:val="30862F5F"/>
    <w:rsid w:val="312B7C81"/>
    <w:rsid w:val="314029C9"/>
    <w:rsid w:val="31BE69BB"/>
    <w:rsid w:val="31C63837"/>
    <w:rsid w:val="31C82E39"/>
    <w:rsid w:val="32152BB1"/>
    <w:rsid w:val="32601BAD"/>
    <w:rsid w:val="329F6389"/>
    <w:rsid w:val="3389023A"/>
    <w:rsid w:val="33CB74FA"/>
    <w:rsid w:val="343642F2"/>
    <w:rsid w:val="343F3010"/>
    <w:rsid w:val="345D0A00"/>
    <w:rsid w:val="34713BFD"/>
    <w:rsid w:val="34C13589"/>
    <w:rsid w:val="350C3C1F"/>
    <w:rsid w:val="351849C1"/>
    <w:rsid w:val="353369E3"/>
    <w:rsid w:val="35E00D72"/>
    <w:rsid w:val="36965B9D"/>
    <w:rsid w:val="36C549FD"/>
    <w:rsid w:val="373F0576"/>
    <w:rsid w:val="37A755DD"/>
    <w:rsid w:val="37F94FA0"/>
    <w:rsid w:val="380D3381"/>
    <w:rsid w:val="38115B1F"/>
    <w:rsid w:val="3852371F"/>
    <w:rsid w:val="385E3AC3"/>
    <w:rsid w:val="387D6B9E"/>
    <w:rsid w:val="38B75FF0"/>
    <w:rsid w:val="38D45016"/>
    <w:rsid w:val="38D90432"/>
    <w:rsid w:val="3914510A"/>
    <w:rsid w:val="3926770B"/>
    <w:rsid w:val="395D1D28"/>
    <w:rsid w:val="398D3668"/>
    <w:rsid w:val="39DA0497"/>
    <w:rsid w:val="39F1694C"/>
    <w:rsid w:val="3A893816"/>
    <w:rsid w:val="3A893B6D"/>
    <w:rsid w:val="3AD1763A"/>
    <w:rsid w:val="3B6716E3"/>
    <w:rsid w:val="3B6C6B2D"/>
    <w:rsid w:val="3C242659"/>
    <w:rsid w:val="3C96719C"/>
    <w:rsid w:val="3CA72BE8"/>
    <w:rsid w:val="3CC42934"/>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4C1F91"/>
    <w:rsid w:val="452F5B3A"/>
    <w:rsid w:val="454E7FD2"/>
    <w:rsid w:val="46061BDC"/>
    <w:rsid w:val="461404F8"/>
    <w:rsid w:val="46413018"/>
    <w:rsid w:val="464B7E04"/>
    <w:rsid w:val="468041AA"/>
    <w:rsid w:val="468123C6"/>
    <w:rsid w:val="46901EEE"/>
    <w:rsid w:val="469C74D2"/>
    <w:rsid w:val="46EA271A"/>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C6201D"/>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A129A9"/>
    <w:rsid w:val="50447CC2"/>
    <w:rsid w:val="50874A7C"/>
    <w:rsid w:val="50895EE7"/>
    <w:rsid w:val="50921B9D"/>
    <w:rsid w:val="50D16158"/>
    <w:rsid w:val="50DB5F45"/>
    <w:rsid w:val="51025EB1"/>
    <w:rsid w:val="51141503"/>
    <w:rsid w:val="51573551"/>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FF38D6"/>
    <w:rsid w:val="5A60780B"/>
    <w:rsid w:val="5AB34579"/>
    <w:rsid w:val="5AFC6609"/>
    <w:rsid w:val="5B113480"/>
    <w:rsid w:val="5BD456CE"/>
    <w:rsid w:val="5C0D1F49"/>
    <w:rsid w:val="5CBB0CE2"/>
    <w:rsid w:val="5CC17177"/>
    <w:rsid w:val="5CE83709"/>
    <w:rsid w:val="5CF306BC"/>
    <w:rsid w:val="5D3F3D64"/>
    <w:rsid w:val="5D833043"/>
    <w:rsid w:val="5DD92690"/>
    <w:rsid w:val="5DDB1CFD"/>
    <w:rsid w:val="5E7E6D93"/>
    <w:rsid w:val="5ED44800"/>
    <w:rsid w:val="5F350BDE"/>
    <w:rsid w:val="5F61632C"/>
    <w:rsid w:val="5FA17648"/>
    <w:rsid w:val="5FE705CB"/>
    <w:rsid w:val="603D5080"/>
    <w:rsid w:val="60AD570E"/>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C0564"/>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00BBD"/>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0E3CE5"/>
    <w:rsid w:val="751D7C0A"/>
    <w:rsid w:val="75722D56"/>
    <w:rsid w:val="75D53288"/>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334686"/>
    <w:rsid w:val="7E5C0A47"/>
    <w:rsid w:val="7E670C75"/>
    <w:rsid w:val="7EE24272"/>
    <w:rsid w:val="7EEA6053"/>
    <w:rsid w:val="7F487C04"/>
    <w:rsid w:val="7F9B734D"/>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5337</Words>
  <Characters>5913</Characters>
  <Lines>0</Lines>
  <Paragraphs>0</Paragraphs>
  <TotalTime>0</TotalTime>
  <ScaleCrop>false</ScaleCrop>
  <LinksUpToDate>false</LinksUpToDate>
  <CharactersWithSpaces>5932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2024-09-02T04:04:19Z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