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博尔塔拉蒙古自治州国土资源执法监察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支队</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lang w:eastAsia="zh-CN"/>
        </w:rPr>
      </w:pPr>
      <w:r>
        <w:rPr>
          <w:rFonts w:ascii="仿宋_GB2312" w:eastAsia="仿宋_GB2312"/>
          <w:color w:val="auto"/>
          <w:sz w:val="32"/>
          <w:szCs w:val="32"/>
        </w:rPr>
        <w:t>博尔塔拉蒙古自治州国土资源执法监察支队，为副处级垂直管理单位，履行博尔塔拉蒙古自治州国土资源执法监察职能，是参照国家公务员法管理的事业单位。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lang w:eastAsia="zh-CN"/>
        </w:rPr>
      </w:pPr>
      <w:r>
        <w:rPr>
          <w:rFonts w:ascii="仿宋_GB2312" w:eastAsia="仿宋_GB2312"/>
          <w:color w:val="auto"/>
          <w:sz w:val="32"/>
          <w:szCs w:val="32"/>
        </w:rPr>
        <w:t>1.宣传和贯彻执行国家、自治区有关土地、矿产资源的法律、法规、规章和政策。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lang w:eastAsia="zh-CN"/>
        </w:rPr>
      </w:pPr>
      <w:r>
        <w:rPr>
          <w:rFonts w:ascii="仿宋_GB2312" w:eastAsia="仿宋_GB2312"/>
          <w:color w:val="auto"/>
          <w:sz w:val="32"/>
          <w:szCs w:val="32"/>
        </w:rPr>
        <w:t>2.按照自治区国土资源执法监察工作程序和要求，组织和实施对本地州执行土地、矿产资源法律法规、规章情况进行监督监察和动态巡查，及时发现和制止土地、矿产资源违法行为。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lang w:eastAsia="zh-CN"/>
        </w:rPr>
      </w:pPr>
      <w:r>
        <w:rPr>
          <w:rFonts w:ascii="仿宋_GB2312" w:eastAsia="仿宋_GB2312"/>
          <w:color w:val="auto"/>
          <w:sz w:val="32"/>
          <w:szCs w:val="32"/>
        </w:rPr>
        <w:t>3.依法组织和实施对本地州土地、矿产资源违法案件进行调查、取证和现场勘验，并提交土地、矿产资源违法案件调查报告和查处意见。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color w:val="auto"/>
          <w:sz w:val="32"/>
          <w:szCs w:val="32"/>
        </w:rPr>
      </w:pPr>
      <w:r>
        <w:rPr>
          <w:rFonts w:ascii="仿宋_GB2312" w:eastAsia="仿宋_GB2312"/>
          <w:color w:val="auto"/>
          <w:sz w:val="32"/>
          <w:szCs w:val="32"/>
        </w:rPr>
        <w:t>4.负责对本地州重大土地、矿产资源违法案件查处决定的督办。</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_GB2312" w:eastAsia="仿宋_GB2312"/>
          <w:color w:val="auto"/>
          <w:sz w:val="32"/>
          <w:szCs w:val="32"/>
        </w:rPr>
      </w:pPr>
      <w:r>
        <w:rPr>
          <w:rFonts w:ascii="仿宋_GB2312" w:eastAsia="仿宋_GB2312"/>
          <w:color w:val="auto"/>
          <w:sz w:val="32"/>
          <w:szCs w:val="32"/>
        </w:rPr>
        <w:t>　　5.领导本地州以下国土资源执法监察机构，负责本地州和县（市）国土资源执法监察机构队伍建设，负责统一管理本级和县（市）国土资源执法监察机构、人员、经费。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eastAsia="仿宋_GB2312"/>
          <w:color w:val="auto"/>
          <w:sz w:val="32"/>
          <w:szCs w:val="32"/>
          <w:highlight w:val="none"/>
        </w:rPr>
      </w:pPr>
      <w:r>
        <w:rPr>
          <w:rFonts w:ascii="仿宋_GB2312" w:eastAsia="仿宋_GB2312"/>
          <w:color w:val="auto"/>
          <w:sz w:val="32"/>
          <w:szCs w:val="32"/>
        </w:rPr>
        <w:t>　　6.完成自治区自然资源厅和自治区国土资源执法监察总队交办的其他工作</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color w:val="auto"/>
          <w:sz w:val="32"/>
          <w:szCs w:val="32"/>
        </w:rPr>
      </w:pPr>
      <w:r>
        <w:rPr>
          <w:rFonts w:hint="eastAsia" w:ascii="仿宋_GB2312" w:eastAsia="仿宋_GB2312"/>
          <w:color w:val="auto"/>
          <w:sz w:val="32"/>
          <w:szCs w:val="32"/>
          <w:highlight w:val="none"/>
          <w:lang w:val="en-US" w:eastAsia="zh-CN"/>
        </w:rPr>
        <w:t>博尔塔拉蒙古自治州国土资源执法监察支队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w:t>
      </w:r>
      <w:bookmarkStart w:id="6" w:name="_Toc3092"/>
      <w:bookmarkStart w:id="7" w:name="_Toc29374"/>
    </w:p>
    <w:p>
      <w:pPr>
        <w:ind w:firstLine="640" w:firstLineChars="200"/>
        <w:rPr>
          <w:rFonts w:ascii="仿宋_GB2312" w:eastAsia="仿宋_GB2312"/>
          <w:color w:val="auto"/>
          <w:sz w:val="32"/>
          <w:szCs w:val="32"/>
        </w:rPr>
      </w:pPr>
      <w:r>
        <w:rPr>
          <w:rFonts w:hint="eastAsia" w:ascii="仿宋_GB2312" w:eastAsia="仿宋_GB2312"/>
          <w:color w:val="auto"/>
          <w:sz w:val="32"/>
          <w:szCs w:val="32"/>
        </w:rPr>
        <w:t>从部门决算单位构成看，博尔塔拉蒙古自治州国土资源执法监察支队部门决算包括：博尔塔拉蒙古自治州国土资源执法监察支队本级决算及所属单位决算。</w:t>
      </w:r>
    </w:p>
    <w:p>
      <w:pPr>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新疆维吾尔自治区博尔塔拉蒙古自治州国土资源执法监察支队</w:t>
      </w:r>
      <w:r>
        <w:rPr>
          <w:rFonts w:hint="eastAsia" w:ascii="仿宋_GB2312" w:hAnsi="宋体" w:eastAsia="仿宋_GB2312" w:cs="宋体"/>
          <w:color w:val="auto"/>
          <w:kern w:val="0"/>
          <w:sz w:val="32"/>
          <w:szCs w:val="32"/>
        </w:rPr>
        <w:t>本级</w:t>
      </w:r>
      <w:r>
        <w:rPr>
          <w:rFonts w:hint="eastAsia" w:ascii="仿宋_GB2312" w:hAnsi="黑体" w:eastAsia="仿宋_GB2312" w:cs="宋体"/>
          <w:bCs/>
          <w:color w:val="auto"/>
          <w:kern w:val="0"/>
          <w:sz w:val="32"/>
          <w:szCs w:val="32"/>
        </w:rPr>
        <w:t>下设</w:t>
      </w:r>
      <w:r>
        <w:rPr>
          <w:rFonts w:hint="eastAsia" w:ascii="仿宋_GB2312" w:eastAsia="仿宋_GB2312"/>
          <w:color w:val="auto"/>
          <w:sz w:val="32"/>
          <w:szCs w:val="32"/>
        </w:rPr>
        <w:t>2</w:t>
      </w:r>
      <w:r>
        <w:rPr>
          <w:rFonts w:hint="eastAsia" w:ascii="仿宋_GB2312" w:hAnsi="黑体" w:eastAsia="仿宋_GB2312" w:cs="宋体"/>
          <w:bCs/>
          <w:color w:val="auto"/>
          <w:kern w:val="0"/>
          <w:sz w:val="32"/>
          <w:szCs w:val="32"/>
        </w:rPr>
        <w:t>个处室，分别是：办公室、执法监察科</w:t>
      </w:r>
      <w:r>
        <w:rPr>
          <w:rFonts w:hint="eastAsia" w:ascii="仿宋_GB2312" w:hAnsi="宋体" w:eastAsia="仿宋_GB2312" w:cs="宋体"/>
          <w:color w:val="auto"/>
          <w:kern w:val="0"/>
          <w:sz w:val="32"/>
          <w:szCs w:val="32"/>
        </w:rPr>
        <w:t>。</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纳入新疆维吾尔自治区博尔塔拉蒙古自治州国土资源执法监察支队</w:t>
      </w:r>
      <w:r>
        <w:rPr>
          <w:rFonts w:hint="eastAsia" w:ascii="仿宋_GB2312" w:eastAsia="仿宋_GB2312"/>
          <w:spacing w:val="0"/>
          <w:sz w:val="32"/>
          <w:szCs w:val="32"/>
          <w:highlight w:val="none"/>
          <w:lang w:eastAsia="zh-CN"/>
        </w:rPr>
        <w:t>2023年度</w:t>
      </w:r>
      <w:r>
        <w:rPr>
          <w:rFonts w:hint="eastAsia" w:ascii="仿宋_GB2312" w:eastAsia="仿宋_GB2312"/>
          <w:spacing w:val="0"/>
          <w:sz w:val="32"/>
          <w:szCs w:val="32"/>
          <w:highlight w:val="none"/>
        </w:rPr>
        <w:t>部门决算编制范围的</w:t>
      </w:r>
      <w:r>
        <w:rPr>
          <w:rFonts w:hint="eastAsia" w:ascii="仿宋_GB2312" w:eastAsia="仿宋_GB2312"/>
          <w:spacing w:val="0"/>
          <w:sz w:val="32"/>
          <w:szCs w:val="32"/>
          <w:highlight w:val="none"/>
          <w:lang w:val="en-US" w:eastAsia="zh-CN"/>
        </w:rPr>
        <w:t>下属预算</w:t>
      </w:r>
      <w:r>
        <w:rPr>
          <w:rFonts w:hint="eastAsia" w:ascii="仿宋_GB2312" w:eastAsia="仿宋_GB2312"/>
          <w:spacing w:val="0"/>
          <w:sz w:val="32"/>
          <w:szCs w:val="32"/>
          <w:highlight w:val="none"/>
        </w:rPr>
        <w:t>单位</w:t>
      </w:r>
      <w:r>
        <w:rPr>
          <w:rFonts w:hint="eastAsia" w:ascii="仿宋_GB2312" w:eastAsia="仿宋_GB2312"/>
          <w:spacing w:val="0"/>
          <w:sz w:val="32"/>
          <w:szCs w:val="32"/>
          <w:highlight w:val="none"/>
          <w:lang w:val="en-US" w:eastAsia="zh-CN"/>
        </w:rPr>
        <w:t>包括</w:t>
      </w:r>
      <w:r>
        <w:rPr>
          <w:rFonts w:hint="eastAsia" w:ascii="仿宋_GB2312" w:eastAsia="仿宋_GB2312"/>
          <w:color w:val="auto"/>
          <w:sz w:val="32"/>
          <w:szCs w:val="32"/>
        </w:rPr>
        <w:t>：</w:t>
      </w:r>
    </w:p>
    <w:p>
      <w:pPr>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1.</w:t>
      </w:r>
      <w:r>
        <w:rPr>
          <w:rFonts w:hint="eastAsia" w:ascii="仿宋_GB2312" w:eastAsia="仿宋_GB2312"/>
          <w:color w:val="auto"/>
          <w:sz w:val="32"/>
          <w:szCs w:val="32"/>
        </w:rPr>
        <w:t>博乐市国土资源执法监察大队</w:t>
      </w:r>
    </w:p>
    <w:p>
      <w:pPr>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2.</w:t>
      </w:r>
      <w:r>
        <w:rPr>
          <w:rFonts w:hint="eastAsia" w:ascii="仿宋_GB2312" w:eastAsia="仿宋_GB2312"/>
          <w:color w:val="auto"/>
          <w:sz w:val="32"/>
          <w:szCs w:val="32"/>
        </w:rPr>
        <w:t>精河县国土资源执法监察大队</w:t>
      </w:r>
    </w:p>
    <w:p>
      <w:pPr>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3.</w:t>
      </w:r>
      <w:r>
        <w:rPr>
          <w:rFonts w:hint="eastAsia" w:ascii="仿宋_GB2312" w:eastAsia="仿宋_GB2312"/>
          <w:color w:val="auto"/>
          <w:sz w:val="32"/>
          <w:szCs w:val="32"/>
        </w:rPr>
        <w:t>温泉县国土资源执法监察大队</w:t>
      </w:r>
    </w:p>
    <w:p>
      <w:pPr>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4.</w:t>
      </w:r>
      <w:r>
        <w:rPr>
          <w:rFonts w:hint="eastAsia" w:ascii="仿宋_GB2312" w:eastAsia="仿宋_GB2312"/>
          <w:color w:val="auto"/>
          <w:sz w:val="32"/>
          <w:szCs w:val="32"/>
        </w:rPr>
        <w:t>阿拉山口市国土资源执法监察大队</w:t>
      </w:r>
    </w:p>
    <w:p>
      <w:pPr>
        <w:ind w:firstLine="640" w:firstLineChars="20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5.</w:t>
      </w:r>
      <w:r>
        <w:rPr>
          <w:rFonts w:hint="eastAsia" w:ascii="仿宋_GB2312" w:eastAsia="仿宋_GB2312"/>
          <w:color w:val="auto"/>
          <w:sz w:val="32"/>
          <w:szCs w:val="32"/>
        </w:rPr>
        <w:t>博尔塔拉蒙古自治州国土资源执法监察支队（本级）</w:t>
      </w:r>
    </w:p>
    <w:p>
      <w:pPr>
        <w:ind w:firstLine="640" w:firstLineChars="200"/>
        <w:rPr>
          <w:rFonts w:ascii="仿宋_GB2312" w:hAnsi="宋体" w:eastAsia="仿宋_GB2312" w:cs="宋体"/>
          <w:color w:val="auto"/>
          <w:kern w:val="0"/>
          <w:sz w:val="32"/>
          <w:szCs w:val="32"/>
        </w:rPr>
      </w:pPr>
    </w:p>
    <w:p>
      <w:pPr>
        <w:ind w:firstLine="640" w:firstLineChars="200"/>
        <w:rPr>
          <w:rFonts w:ascii="仿宋_GB2312" w:hAnsi="宋体" w:eastAsia="仿宋_GB2312" w:cs="宋体"/>
          <w:color w:val="auto"/>
          <w:kern w:val="0"/>
          <w:sz w:val="32"/>
          <w:szCs w:val="32"/>
        </w:rPr>
      </w:pPr>
    </w:p>
    <w:p>
      <w:pPr>
        <w:ind w:firstLine="640" w:firstLineChars="200"/>
        <w:rPr>
          <w:rFonts w:ascii="仿宋_GB2312" w:hAnsi="宋体" w:eastAsia="仿宋_GB2312" w:cs="宋体"/>
          <w:color w:val="auto"/>
          <w:kern w:val="0"/>
          <w:sz w:val="32"/>
          <w:szCs w:val="32"/>
        </w:rPr>
      </w:pPr>
    </w:p>
    <w:p>
      <w:pPr>
        <w:ind w:firstLine="640" w:firstLineChars="200"/>
        <w:rPr>
          <w:rFonts w:ascii="仿宋_GB2312" w:hAnsi="宋体" w:eastAsia="仿宋_GB2312" w:cs="宋体"/>
          <w:color w:val="auto"/>
          <w:kern w:val="0"/>
          <w:sz w:val="32"/>
          <w:szCs w:val="32"/>
        </w:rPr>
      </w:pPr>
    </w:p>
    <w:p>
      <w:pPr>
        <w:ind w:firstLine="640" w:firstLineChars="200"/>
        <w:rPr>
          <w:rFonts w:ascii="仿宋_GB2312" w:hAnsi="宋体" w:eastAsia="仿宋_GB2312" w:cs="宋体"/>
          <w:color w:val="auto"/>
          <w:kern w:val="0"/>
          <w:sz w:val="32"/>
          <w:szCs w:val="32"/>
        </w:rPr>
      </w:pPr>
    </w:p>
    <w:p>
      <w:pPr>
        <w:ind w:firstLine="640" w:firstLineChars="200"/>
        <w:rPr>
          <w:rFonts w:ascii="仿宋_GB2312" w:hAnsi="宋体" w:eastAsia="仿宋_GB2312" w:cs="宋体"/>
          <w:color w:val="auto"/>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807.16万元，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754.63万元，使用非财政拨款结余0.00万元，年初结转和结余52.53万元。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807.16万元，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791.09万元，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0.00万元，年末结转和结余16.07万元。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增加16.41万元</w:t>
      </w:r>
      <w:r>
        <w:rPr>
          <w:rFonts w:hint="eastAsia" w:ascii="仿宋_GB2312" w:eastAsia="仿宋_GB2312"/>
          <w:color w:val="auto"/>
          <w:spacing w:val="0"/>
          <w:sz w:val="32"/>
          <w:szCs w:val="32"/>
          <w:highlight w:val="none"/>
          <w:lang w:eastAsia="zh-CN"/>
        </w:rPr>
        <w:t>，增长2.07%，主要原因是：退休人员增加</w:t>
      </w:r>
      <w:r>
        <w:rPr>
          <w:rFonts w:hint="eastAsia" w:ascii="仿宋_GB2312" w:eastAsia="仿宋_GB2312"/>
          <w:color w:val="auto"/>
          <w:spacing w:val="0"/>
          <w:sz w:val="32"/>
          <w:szCs w:val="32"/>
          <w:highlight w:val="none"/>
          <w:lang w:val="en-US" w:eastAsia="zh-CN"/>
        </w:rPr>
        <w:t>3人，退休人员职业年金缴费支出增加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754.63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754.53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0.10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本年支出791.09万元，其中：基本支出518.63万元，占65.56%；项目支出272.47万元，占34.44%；上缴上级支出0.00万元，占0.00%；经营支出0.00万元，占0.00%；对附属单位补助支出0.00万元，占0.00%。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807.06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52.53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754.53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807.06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16.07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791.00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增加16.50万元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增长2.09%,</w:t>
      </w:r>
      <w:r>
        <w:rPr>
          <w:rFonts w:hint="eastAsia" w:ascii="仿宋_GB2312" w:eastAsia="仿宋_GB2312"/>
          <w:color w:val="auto"/>
          <w:spacing w:val="0"/>
          <w:sz w:val="32"/>
          <w:szCs w:val="32"/>
          <w:highlight w:val="none"/>
          <w:lang w:eastAsia="zh-CN"/>
        </w:rPr>
        <w:t>主要原因是：退休人员增加</w:t>
      </w:r>
      <w:r>
        <w:rPr>
          <w:rFonts w:hint="eastAsia" w:ascii="仿宋_GB2312" w:eastAsia="仿宋_GB2312"/>
          <w:color w:val="auto"/>
          <w:spacing w:val="0"/>
          <w:sz w:val="32"/>
          <w:szCs w:val="32"/>
          <w:highlight w:val="none"/>
          <w:lang w:val="en-US" w:eastAsia="zh-CN"/>
        </w:rPr>
        <w:t>3人，退休人员职业年金缴费支出增加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676.02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807.06</w:t>
      </w:r>
      <w:r>
        <w:rPr>
          <w:rFonts w:hint="eastAsia" w:ascii="仿宋_GB2312" w:eastAsia="仿宋_GB2312"/>
          <w:color w:val="auto"/>
          <w:spacing w:val="0"/>
          <w:sz w:val="32"/>
          <w:szCs w:val="32"/>
          <w:highlight w:val="none"/>
          <w:lang w:eastAsia="zh-CN"/>
        </w:rPr>
        <w:t>万元，预决算差异率19.38%，主要原因是：</w:t>
      </w:r>
      <w:r>
        <w:rPr>
          <w:rFonts w:hint="eastAsia" w:ascii="仿宋_GB2312" w:eastAsia="仿宋_GB2312"/>
          <w:color w:val="auto"/>
          <w:sz w:val="32"/>
          <w:szCs w:val="32"/>
        </w:rPr>
        <w:t>增加了上年度绩效考核奖金、调资增资</w:t>
      </w:r>
      <w:r>
        <w:rPr>
          <w:rFonts w:hint="eastAsia" w:ascii="仿宋_GB2312" w:eastAsia="仿宋_GB2312"/>
          <w:color w:val="auto"/>
          <w:sz w:val="32"/>
          <w:szCs w:val="32"/>
          <w:lang w:eastAsia="zh-CN"/>
        </w:rPr>
        <w:t>、退休人员职业年金</w:t>
      </w:r>
      <w:r>
        <w:rPr>
          <w:rFonts w:hint="eastAsia" w:ascii="仿宋_GB2312" w:eastAsia="仿宋_GB2312"/>
          <w:color w:val="auto"/>
          <w:sz w:val="32"/>
          <w:szCs w:val="32"/>
        </w:rPr>
        <w:t>等经费支出</w:t>
      </w:r>
      <w:r>
        <w:rPr>
          <w:rFonts w:hint="eastAsia" w:ascii="仿宋_GB2312" w:eastAsia="仿宋_GB2312"/>
          <w:color w:val="auto"/>
          <w:sz w:val="32"/>
          <w:szCs w:val="32"/>
          <w:lang w:eastAsia="zh-CN"/>
        </w:rPr>
        <w:t>，</w:t>
      </w:r>
      <w:r>
        <w:rPr>
          <w:rFonts w:hint="eastAsia" w:ascii="仿宋_GB2312" w:eastAsia="仿宋_GB2312"/>
          <w:color w:val="auto"/>
          <w:sz w:val="32"/>
          <w:szCs w:val="32"/>
        </w:rPr>
        <w:t>执法办案业务量增加，执法办案经费支出增加</w:t>
      </w:r>
      <w:r>
        <w:rPr>
          <w:rFonts w:hint="eastAsia" w:ascii="仿宋_GB2312" w:eastAsia="仿宋_GB2312"/>
          <w:color w:val="auto"/>
          <w:sz w:val="32"/>
          <w:szCs w:val="32"/>
          <w:lang w:eastAsia="zh-CN"/>
        </w:rPr>
        <w:t>，故预决算产生差异。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2023年度一般公共预算财政拨款支出791.00万元，占本年支出合计的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增加52.96万元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增长7.18%,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rPr>
        <w:t>增加了上年度绩效考核奖金、调资增资</w:t>
      </w:r>
      <w:r>
        <w:rPr>
          <w:rFonts w:hint="eastAsia" w:ascii="仿宋_GB2312" w:eastAsia="仿宋_GB2312"/>
          <w:color w:val="auto"/>
          <w:sz w:val="32"/>
          <w:szCs w:val="32"/>
          <w:lang w:eastAsia="zh-CN"/>
        </w:rPr>
        <w:t>、退休人员职业年金</w:t>
      </w:r>
      <w:r>
        <w:rPr>
          <w:rFonts w:hint="eastAsia" w:ascii="仿宋_GB2312" w:eastAsia="仿宋_GB2312"/>
          <w:color w:val="auto"/>
          <w:sz w:val="32"/>
          <w:szCs w:val="32"/>
        </w:rPr>
        <w:t>等经费支出；执法办案业务量增加，执法办案经费支出增加。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676.02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791.00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17.01%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rPr>
        <w:t>增加了上年度绩效考核奖金、调资增资</w:t>
      </w:r>
      <w:r>
        <w:rPr>
          <w:rFonts w:hint="eastAsia" w:ascii="仿宋_GB2312" w:eastAsia="仿宋_GB2312"/>
          <w:color w:val="auto"/>
          <w:sz w:val="32"/>
          <w:szCs w:val="32"/>
          <w:lang w:eastAsia="zh-CN"/>
        </w:rPr>
        <w:t>、退休人员职业年金</w:t>
      </w:r>
      <w:r>
        <w:rPr>
          <w:rFonts w:hint="eastAsia" w:ascii="仿宋_GB2312" w:eastAsia="仿宋_GB2312"/>
          <w:color w:val="auto"/>
          <w:sz w:val="32"/>
          <w:szCs w:val="32"/>
        </w:rPr>
        <w:t>等经费支出</w:t>
      </w:r>
      <w:r>
        <w:rPr>
          <w:rFonts w:hint="eastAsia" w:ascii="仿宋_GB2312" w:eastAsia="仿宋_GB2312"/>
          <w:color w:val="auto"/>
          <w:sz w:val="32"/>
          <w:szCs w:val="32"/>
          <w:lang w:eastAsia="zh-CN"/>
        </w:rPr>
        <w:t>，故预决算产生差异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78.54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9.93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39.12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4.95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642.13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81.18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31.20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3.94</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1.卫生健康支出（类）行政事业单位医疗（款）行政单位医疗（项）:支出决算数为20.92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17.61%，主要原因是：</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2.卫生健康支出（类）行政事业单位医疗（款）公务员医疗补助（项）:支出决算数为18.20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31.53%，主要原因是：</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3.自然资源海洋气象等支出（类）自然资源事务（款）其他自然资源事务支出（项）:支出决算数为272.47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eastAsia="仿宋_GB2312"/>
          <w:color w:val="auto"/>
          <w:sz w:val="32"/>
          <w:szCs w:val="32"/>
        </w:rPr>
        <w:t>执法办案业务量增加，执法办案经费支出增加。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4.自然资源海洋气象等支出（类）自然资源事务（款）行政运行（项）:支出决算数为369.67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2.85%，主要原因是：</w:t>
      </w:r>
      <w:r>
        <w:rPr>
          <w:rFonts w:hint="eastAsia" w:ascii="仿宋_GB2312" w:eastAsia="仿宋_GB2312"/>
          <w:color w:val="auto"/>
          <w:sz w:val="32"/>
          <w:szCs w:val="32"/>
        </w:rPr>
        <w:t>增加了上年度绩效考核奖金、调资增资等经费支出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5.住房保障支出（类）住房改革支出（款）住房公积金（项）:支出决算数为31.20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26.65%，主要原因是：</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6.社会保障和就业支出（类）行政事业单位养老支出（款）行政单位离退休（项）:支出决算数为15.14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16.94%，主要原因是：</w:t>
      </w:r>
      <w:r>
        <w:rPr>
          <w:rFonts w:hint="eastAsia" w:eastAsia="仿宋_GB2312" w:cs="Times New Roman"/>
          <w:color w:val="auto"/>
          <w:kern w:val="2"/>
          <w:sz w:val="32"/>
          <w:szCs w:val="32"/>
          <w:highlight w:val="none"/>
          <w:lang w:val="zh-CN" w:eastAsia="zh-CN" w:bidi="ar-SA"/>
        </w:rPr>
        <w:t>退休人员增加，退休费支出增加。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7.社会保障和就业支出（类）行政事业单位养老支出（款）机关事业单位职业年金缴费支出（项）:支出决算数为21.81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220.99%，主要原因是：</w:t>
      </w:r>
      <w:r>
        <w:rPr>
          <w:rFonts w:hint="eastAsia" w:eastAsia="仿宋_GB2312" w:cs="Times New Roman"/>
          <w:color w:val="auto"/>
          <w:kern w:val="2"/>
          <w:sz w:val="32"/>
          <w:szCs w:val="32"/>
          <w:highlight w:val="none"/>
          <w:lang w:val="zh-CN" w:eastAsia="zh-CN" w:bidi="ar-SA"/>
        </w:rPr>
        <w:t>退休人员增加，退休人员职业年金支出增加。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8.社会保障和就业支出（类）行政事业单位养老支出（款）机关事业单位基本养老保险缴费支出（项）:支出决算数为41.60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26.65%，主要原因是：</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518.53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482.46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36.07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color w:val="auto"/>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color w:val="auto"/>
          <w:sz w:val="32"/>
          <w:szCs w:val="32"/>
        </w:rPr>
        <w:t>我单位无公务用车购置及运行维护费</w:t>
      </w:r>
      <w:r>
        <w:rPr>
          <w:rFonts w:hint="eastAsia" w:ascii="仿宋_GB2312" w:eastAsia="仿宋_GB2312"/>
          <w:color w:val="auto"/>
          <w:sz w:val="32"/>
          <w:szCs w:val="32"/>
        </w:rPr>
        <w:t>；</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color w:val="auto"/>
          <w:sz w:val="32"/>
          <w:szCs w:val="32"/>
        </w:rPr>
        <w:t>我单位无公务接待费</w:t>
      </w:r>
      <w:r>
        <w:rPr>
          <w:rFonts w:hint="eastAsia" w:ascii="仿宋_GB2312" w:eastAsia="仿宋_GB2312"/>
          <w:color w:val="auto"/>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原因是：我单位车辆不属于公务用车，使用其他交通费，支付燃油及维修费。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博尔塔拉蒙古自治州国土资源执法监察支队（行政单位和参照公务员法管理事业单位）机关运行经费支出36.07万元，</w:t>
      </w:r>
      <w:r>
        <w:rPr>
          <w:rFonts w:hint="eastAsia" w:ascii="Times New Roman" w:hAnsi="Times New Roman" w:eastAsia="仿宋_GB2312" w:cs="Times New Roman"/>
          <w:color w:val="auto"/>
          <w:sz w:val="32"/>
          <w:szCs w:val="32"/>
          <w:highlight w:val="none"/>
          <w:lang w:val="zh-CN" w:eastAsia="zh-CN"/>
        </w:rPr>
        <w:t>比上年增加0.53万元，增长1.48%，主要原因是：</w:t>
      </w:r>
      <w:r>
        <w:rPr>
          <w:rFonts w:hint="eastAsia" w:eastAsia="仿宋_GB2312" w:cs="Times New Roman"/>
          <w:color w:val="auto"/>
          <w:sz w:val="32"/>
          <w:szCs w:val="32"/>
          <w:highlight w:val="none"/>
          <w:lang w:val="en-US" w:eastAsia="zh-CN"/>
        </w:rPr>
        <w:t>在职人员年工资总额增长，工会、福利费用相应增长，退休人员增加，老干部活动费增加。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485.29</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屋338.34平方米，价值89.83万元。车辆11辆，价值231.11万元，其中：副部（省）级及以上领导用车0辆、主要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用车0辆、机要通信用车0辆、应急保障用车0辆、执法执勤用车6辆、特种专业技术用车0辆、离退休干部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用车0辆、其他用车5辆，其他用车主要是：</w:t>
      </w:r>
      <w:r>
        <w:rPr>
          <w:rFonts w:hint="eastAsia" w:ascii="仿宋_GB2312" w:eastAsia="仿宋_GB2312"/>
          <w:color w:val="auto"/>
          <w:sz w:val="32"/>
          <w:szCs w:val="32"/>
        </w:rPr>
        <w:t>日常</w:t>
      </w:r>
      <w:r>
        <w:rPr>
          <w:rFonts w:hint="eastAsia" w:ascii="仿宋_GB2312" w:eastAsia="仿宋_GB2312"/>
          <w:color w:val="auto"/>
          <w:sz w:val="32"/>
          <w:szCs w:val="32"/>
          <w:lang w:eastAsia="zh-CN"/>
        </w:rPr>
        <w:t>业务</w:t>
      </w:r>
      <w:bookmarkStart w:id="48" w:name="_GoBack"/>
      <w:bookmarkEnd w:id="48"/>
      <w:r>
        <w:rPr>
          <w:rFonts w:hint="eastAsia" w:ascii="仿宋_GB2312" w:eastAsia="仿宋_GB2312"/>
          <w:color w:val="auto"/>
          <w:sz w:val="32"/>
          <w:szCs w:val="32"/>
        </w:rPr>
        <w:t>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授予中小企业合同金额、授予小微企业合同金额为0.00万元，主要原因是：我部门为自治区垂直管理单位，属于自治区外派机构实行驻地采购方式，不在自治区集中采购范围内，所以无政府采购相关情况。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A61472"/>
    <w:rsid w:val="14B932DA"/>
    <w:rsid w:val="150A66AF"/>
    <w:rsid w:val="151824AD"/>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EAA5C3D"/>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4DA2E6F"/>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123997"/>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EF3D94"/>
    <w:rsid w:val="525C687F"/>
    <w:rsid w:val="52F647F7"/>
    <w:rsid w:val="52F92565"/>
    <w:rsid w:val="53D03877"/>
    <w:rsid w:val="542F73CA"/>
    <w:rsid w:val="5430786D"/>
    <w:rsid w:val="545A1D2A"/>
    <w:rsid w:val="54C811C0"/>
    <w:rsid w:val="556A442D"/>
    <w:rsid w:val="55DA564E"/>
    <w:rsid w:val="55EB0B26"/>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C771BA"/>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4356B4"/>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624F3D"/>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5589</Words>
  <Characters>6216</Characters>
  <Lines>0</Lines>
  <Paragraphs>0</Paragraphs>
  <TotalTime>0</TotalTime>
  <ScaleCrop>false</ScaleCrop>
  <LinksUpToDate>false</LinksUpToDate>
  <CharactersWithSpaces>6230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2024-09-07T16:09:22Z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