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博尔塔拉蒙古自治州国土资源执法监察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支队（本级）</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ascii="仿宋_GB2312" w:eastAsia="仿宋_GB2312"/>
          <w:color w:val="auto"/>
          <w:sz w:val="32"/>
          <w:szCs w:val="32"/>
        </w:rPr>
        <w:t>博尔塔拉蒙古自治州国土资源执法监察支队（本级）为自治区国土资源执法监察总队垂直管理的副处级单位，参照国家公务员制度管理。履行博尔塔拉蒙古自治州国土资源执法监察职能。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lang w:val="en-US" w:eastAsia="zh-CN"/>
        </w:rPr>
        <w:t>1.</w:t>
      </w:r>
      <w:r>
        <w:rPr>
          <w:rFonts w:ascii="仿宋_GB2312" w:eastAsia="仿宋_GB2312"/>
          <w:color w:val="auto"/>
          <w:sz w:val="32"/>
          <w:szCs w:val="32"/>
        </w:rPr>
        <w:t>宣传和贯彻执行国家、自治区有关土地、矿产资源的法律、法规、规章和政策。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lang w:val="en-US" w:eastAsia="zh-CN"/>
        </w:rPr>
        <w:t>2.</w:t>
      </w:r>
      <w:r>
        <w:rPr>
          <w:rFonts w:ascii="仿宋_GB2312" w:eastAsia="仿宋_GB2312"/>
          <w:color w:val="auto"/>
          <w:sz w:val="32"/>
          <w:szCs w:val="32"/>
        </w:rPr>
        <w:t>按照自治区国土资源执法监察工作程序和要求，组织和实施对本地州执行土地、矿产资源法律法规、规章情况进行监督监察和动态巡查，及时发现和制止土地、矿产资源违法行为。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ascii="仿宋_GB2312" w:eastAsia="仿宋_GB2312"/>
          <w:color w:val="auto"/>
          <w:sz w:val="32"/>
          <w:szCs w:val="32"/>
        </w:rPr>
        <w:t>3.依法组织和实施对本地州土地、矿产资源违法案件进行调查、取证和现场勘验，并提交土地、矿产资源违法案件调查报告和查处意见。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ascii="仿宋_GB2312" w:eastAsia="仿宋_GB2312"/>
          <w:color w:val="auto"/>
          <w:sz w:val="32"/>
          <w:szCs w:val="32"/>
        </w:rPr>
        <w:t>4.负责对本地州重大土地、矿产资源违法案件查处决定的督办。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color w:val="auto"/>
          <w:sz w:val="32"/>
          <w:szCs w:val="32"/>
        </w:rPr>
      </w:pPr>
      <w:r>
        <w:rPr>
          <w:rFonts w:ascii="仿宋_GB2312" w:eastAsia="仿宋_GB2312"/>
          <w:color w:val="auto"/>
          <w:sz w:val="32"/>
          <w:szCs w:val="32"/>
        </w:rPr>
        <w:t>5.领导本地州以下国土资源执法监察机构，负责本地州和县（市）国土资源执法监察机构队伍建设，负责统一管理本级和县（市）国土资源执法监察机构、人员、经费。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color w:val="auto"/>
          <w:sz w:val="32"/>
          <w:szCs w:val="32"/>
        </w:rPr>
        <w:t>6.完成自治区自然资源厅和自治区国土资源执法监察总队交办的其他工作</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博尔塔拉蒙古自治州国土资源执法监察支队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单位无下属预算单位，</w:t>
      </w:r>
      <w:r>
        <w:rPr>
          <w:rFonts w:hint="eastAsia" w:ascii="仿宋_GB2312" w:hAnsi="宋体" w:eastAsia="仿宋_GB2312" w:cs="宋体"/>
          <w:color w:val="auto"/>
          <w:kern w:val="0"/>
          <w:sz w:val="32"/>
          <w:szCs w:val="32"/>
        </w:rPr>
        <w:t>下设2个处室，分别是：办公室、执法监察科。</w:t>
      </w:r>
    </w:p>
    <w:p>
      <w:pPr>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339.73万元，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313.64万元，使用非财政拨款结余0.00万元，年初结转和结余26.10万元。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339.73万元，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330.48万元，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0.00万元，年末结转和结余9.25万元。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下降1.05%</w:t>
      </w:r>
      <w:r>
        <w:rPr>
          <w:rFonts w:hint="eastAsia" w:ascii="仿宋_GB2312" w:eastAsia="仿宋_GB2312"/>
          <w:color w:val="auto"/>
          <w:spacing w:val="0"/>
          <w:sz w:val="32"/>
          <w:szCs w:val="32"/>
          <w:highlight w:val="none"/>
          <w:lang w:eastAsia="zh-CN"/>
        </w:rPr>
        <w:t>，主要原因是：根据自治区医保局、财政厅、新疆税务局《关于进一步规范自治区职工基本医疗保险缴费基数等有关问题的通知》（新医保发</w:t>
      </w:r>
      <w:r>
        <w:rPr>
          <w:rFonts w:hint="eastAsia" w:ascii="宋体" w:hAnsi="宋体" w:eastAsia="宋体" w:cs="宋体"/>
          <w:color w:val="auto"/>
          <w:spacing w:val="0"/>
          <w:sz w:val="32"/>
          <w:szCs w:val="32"/>
          <w:highlight w:val="none"/>
          <w:lang w:eastAsia="zh-CN"/>
        </w:rPr>
        <w:t>〔</w:t>
      </w:r>
      <w:r>
        <w:rPr>
          <w:rFonts w:hint="eastAsia" w:ascii="宋体" w:hAnsi="宋体" w:eastAsia="宋体" w:cs="宋体"/>
          <w:color w:val="auto"/>
          <w:spacing w:val="0"/>
          <w:sz w:val="32"/>
          <w:szCs w:val="32"/>
          <w:highlight w:val="none"/>
          <w:lang w:val="en-US" w:eastAsia="zh-CN"/>
        </w:rPr>
        <w:t>2023</w:t>
      </w:r>
      <w:r>
        <w:rPr>
          <w:rFonts w:hint="eastAsia" w:ascii="宋体" w:hAnsi="宋体" w:eastAsia="宋体" w:cs="宋体"/>
          <w:color w:val="auto"/>
          <w:kern w:val="0"/>
          <w:sz w:val="32"/>
          <w:szCs w:val="32"/>
        </w:rPr>
        <w:t>〕</w:t>
      </w:r>
      <w:r>
        <w:rPr>
          <w:rFonts w:hint="eastAsia" w:ascii="宋体" w:hAnsi="宋体" w:cs="宋体"/>
          <w:color w:val="auto"/>
          <w:kern w:val="0"/>
          <w:sz w:val="32"/>
          <w:szCs w:val="32"/>
          <w:lang w:val="en-US" w:eastAsia="zh-CN"/>
        </w:rPr>
        <w:t>58号</w:t>
      </w:r>
      <w:r>
        <w:rPr>
          <w:rFonts w:hint="eastAsia" w:ascii="仿宋_GB2312" w:eastAsia="仿宋_GB2312"/>
          <w:color w:val="auto"/>
          <w:spacing w:val="0"/>
          <w:sz w:val="32"/>
          <w:szCs w:val="32"/>
          <w:highlight w:val="none"/>
          <w:lang w:eastAsia="zh-CN"/>
        </w:rPr>
        <w:t>）文件精神，退休人员基本医疗费用支出减少，对个人和家庭补助费用减少。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313.64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313.59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本年支出330.48万元，其中：基本支出188.64万元，占57.08%；项目支出141.84万元，占42.92%；上缴上级支出0.00万元，占0.00%；经营支出0.00万元，占0.00%；对附属单位补助支出0.00万元，占0.00%。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339.69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26.10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313.59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339.69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9.25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330.43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下降1.04%，</w:t>
      </w:r>
      <w:r>
        <w:rPr>
          <w:rFonts w:hint="eastAsia" w:ascii="仿宋_GB2312" w:eastAsia="仿宋_GB2312"/>
          <w:color w:val="auto"/>
          <w:spacing w:val="0"/>
          <w:sz w:val="32"/>
          <w:szCs w:val="32"/>
          <w:highlight w:val="none"/>
          <w:lang w:eastAsia="zh-CN"/>
        </w:rPr>
        <w:t>主要原因是：根据自治区医保局、财政厅、新疆税务局《关于进一步规范自治区职工基本医疗保险缴费基数等有关问题的通知》（新医保发</w:t>
      </w:r>
      <w:r>
        <w:rPr>
          <w:rFonts w:hint="eastAsia" w:ascii="宋体" w:hAnsi="宋体" w:eastAsia="宋体" w:cs="宋体"/>
          <w:color w:val="auto"/>
          <w:spacing w:val="0"/>
          <w:sz w:val="32"/>
          <w:szCs w:val="32"/>
          <w:highlight w:val="none"/>
          <w:lang w:eastAsia="zh-CN"/>
        </w:rPr>
        <w:t>〔</w:t>
      </w:r>
      <w:r>
        <w:rPr>
          <w:rFonts w:hint="eastAsia" w:ascii="宋体" w:hAnsi="宋体" w:eastAsia="宋体" w:cs="宋体"/>
          <w:color w:val="auto"/>
          <w:spacing w:val="0"/>
          <w:sz w:val="32"/>
          <w:szCs w:val="32"/>
          <w:highlight w:val="none"/>
          <w:lang w:val="en-US" w:eastAsia="zh-CN"/>
        </w:rPr>
        <w:t>2023</w:t>
      </w:r>
      <w:r>
        <w:rPr>
          <w:rFonts w:hint="eastAsia" w:ascii="宋体" w:hAnsi="宋体" w:eastAsia="宋体" w:cs="宋体"/>
          <w:color w:val="auto"/>
          <w:kern w:val="0"/>
          <w:sz w:val="32"/>
          <w:szCs w:val="32"/>
        </w:rPr>
        <w:t>〕</w:t>
      </w:r>
      <w:r>
        <w:rPr>
          <w:rFonts w:hint="eastAsia" w:ascii="宋体" w:hAnsi="宋体" w:cs="宋体"/>
          <w:color w:val="auto"/>
          <w:kern w:val="0"/>
          <w:sz w:val="32"/>
          <w:szCs w:val="32"/>
          <w:lang w:val="en-US" w:eastAsia="zh-CN"/>
        </w:rPr>
        <w:t>58号</w:t>
      </w:r>
      <w:r>
        <w:rPr>
          <w:rFonts w:hint="eastAsia" w:ascii="仿宋_GB2312" w:eastAsia="仿宋_GB2312"/>
          <w:color w:val="auto"/>
          <w:spacing w:val="0"/>
          <w:sz w:val="32"/>
          <w:szCs w:val="32"/>
          <w:highlight w:val="none"/>
          <w:lang w:eastAsia="zh-CN"/>
        </w:rPr>
        <w:t>）文件精神，退休人员基本医疗费用支出减少，对个人和家庭补助费用减少。与年初预算相比，年初预算数</w:t>
      </w:r>
      <w:r>
        <w:rPr>
          <w:rFonts w:hint="eastAsia" w:ascii="仿宋_GB2312" w:eastAsia="仿宋_GB2312"/>
          <w:color w:val="auto"/>
          <w:spacing w:val="0"/>
          <w:sz w:val="32"/>
          <w:szCs w:val="32"/>
          <w:highlight w:val="none"/>
          <w:lang w:val="zh-CN" w:eastAsia="zh-CN"/>
        </w:rPr>
        <w:t>292.57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339.69</w:t>
      </w:r>
      <w:r>
        <w:rPr>
          <w:rFonts w:hint="eastAsia" w:ascii="仿宋_GB2312" w:eastAsia="仿宋_GB2312"/>
          <w:color w:val="auto"/>
          <w:spacing w:val="0"/>
          <w:sz w:val="32"/>
          <w:szCs w:val="32"/>
          <w:highlight w:val="none"/>
          <w:lang w:eastAsia="zh-CN"/>
        </w:rPr>
        <w:t>万元，预决算差异率16.10%，主要原因是：</w:t>
      </w:r>
      <w:r>
        <w:rPr>
          <w:rFonts w:hint="eastAsia" w:ascii="仿宋_GB2312" w:eastAsia="仿宋_GB2312"/>
          <w:color w:val="auto"/>
          <w:sz w:val="32"/>
          <w:szCs w:val="32"/>
        </w:rPr>
        <w:t>增加了上年度绩效考核奖金、调资增资等经费支出；执法办案业务量增加，执法办案经费支出增加</w:t>
      </w:r>
      <w:r>
        <w:rPr>
          <w:rFonts w:hint="eastAsia" w:ascii="仿宋_GB2312" w:eastAsia="仿宋_GB2312"/>
          <w:color w:val="auto"/>
          <w:sz w:val="32"/>
          <w:szCs w:val="32"/>
          <w:lang w:eastAsia="zh-CN"/>
        </w:rPr>
        <w:t>，故预决算产生差异</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2023年度一般公共预算财政拨款支出330.43万元，占本年支出合计的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增长4.19%，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z w:val="32"/>
          <w:szCs w:val="32"/>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292.57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330.43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12.94%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增加了上年度绩效考核奖金、调资增资等经费支出；执法办案业务量增加，执法办案经费支出增加</w:t>
      </w:r>
      <w:r>
        <w:rPr>
          <w:rFonts w:hint="eastAsia" w:ascii="仿宋_GB2312" w:eastAsia="仿宋_GB2312"/>
          <w:color w:val="auto"/>
          <w:sz w:val="32"/>
          <w:szCs w:val="32"/>
          <w:lang w:eastAsia="zh-CN"/>
        </w:rPr>
        <w:t>，故预决算产生差异</w:t>
      </w:r>
      <w:r>
        <w:rPr>
          <w:rFonts w:hint="eastAsia" w:ascii="仿宋_GB2312" w:eastAsia="仿宋_GB2312"/>
          <w:color w:val="auto"/>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30.91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14.58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273.32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3.52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1.卫生健康支出（类）行政事业单位医疗（款）行政单位医疗（项）:支出决算数为7.80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25.31%，主要原因是：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2.卫生健康支出（类）行政事业单位医疗（款）公务员医疗补助（项）:支出决算数为6.78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40.09%，主要原因是：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3.自然资源海洋气象等支出（类）自然资源事务（款）其他自然资源事务支出（项）:支出决算数为141.84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1.39%，主要原因是：</w:t>
      </w:r>
      <w:r>
        <w:rPr>
          <w:rFonts w:hint="eastAsia" w:ascii="仿宋_GB2312" w:eastAsia="仿宋_GB2312"/>
          <w:color w:val="auto"/>
          <w:sz w:val="32"/>
          <w:szCs w:val="32"/>
        </w:rPr>
        <w:t>执法办案业务量增加，执法办案经费支出增加。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4.自然资源海洋气象等支出（类）自然资源事务（款）行政运行（项）:支出决算数为131.48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2.62%，主要原因是：</w:t>
      </w:r>
      <w:r>
        <w:rPr>
          <w:rFonts w:hint="eastAsia" w:eastAsia="仿宋_GB2312" w:cs="Times New Roman"/>
          <w:color w:val="auto"/>
          <w:kern w:val="2"/>
          <w:sz w:val="32"/>
          <w:szCs w:val="32"/>
          <w:highlight w:val="none"/>
          <w:lang w:val="zh-CN" w:eastAsia="zh-CN" w:bidi="ar-SA"/>
        </w:rPr>
        <w:t>厉行节约，相应支出减少。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5.住房保障支出（类）住房改革支出（款）住房公积金（项）:支出决算数为11.62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34.58%，主要原因是：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6.社会保障和就业支出（类）行政事业单位养老支出（款）行政单位离退休（项）:支出决算数为7.47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76.92%，主要原因是：</w:t>
      </w:r>
      <w:r>
        <w:rPr>
          <w:rFonts w:hint="eastAsia" w:eastAsia="仿宋_GB2312" w:cs="Times New Roman"/>
          <w:color w:val="auto"/>
          <w:kern w:val="2"/>
          <w:sz w:val="32"/>
          <w:szCs w:val="32"/>
          <w:highlight w:val="none"/>
          <w:lang w:val="zh-CN" w:eastAsia="zh-CN" w:bidi="ar-SA"/>
        </w:rPr>
        <w:t>退休人员增加一人，缴费支出增加。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7.社会保障和就业支出（类）行政事业单位养老支出（款）机关事业单位职业年金缴费支出（项）:支出决算数为7.95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16.98%，主要原因是：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8.社会保障和就业支出（类）行政事业单位养老支出（款）机关事业单位基本养老保险缴费支出（项）:支出决算数为15.50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34.58%，主要原因是：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188.59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172.49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16.10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color w:val="auto"/>
          <w:sz w:val="32"/>
          <w:szCs w:val="32"/>
        </w:rPr>
        <w:t>我单位无公务用车购置及运行维护费</w:t>
      </w:r>
      <w:r>
        <w:rPr>
          <w:rFonts w:hint="eastAsia" w:ascii="仿宋_GB2312" w:eastAsia="仿宋_GB2312"/>
          <w:color w:val="auto"/>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color w:val="auto"/>
          <w:sz w:val="32"/>
          <w:szCs w:val="32"/>
        </w:rPr>
        <w:t>我单位无公务接待费</w:t>
      </w:r>
      <w:r>
        <w:rPr>
          <w:rFonts w:hint="eastAsia" w:ascii="仿宋_GB2312" w:eastAsia="仿宋_GB2312"/>
          <w:color w:val="auto"/>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博尔塔拉蒙古自治州国土资源执法监察支队（行政单位和参照公务员法管理事业单位）机关运行经费支出16.10万元，比上年增加0.72万元，增长4.65%,主要原因是：</w:t>
      </w:r>
      <w:r>
        <w:rPr>
          <w:rFonts w:hint="eastAsia" w:eastAsia="仿宋_GB2312" w:cs="Times New Roman"/>
          <w:color w:val="auto"/>
          <w:sz w:val="32"/>
          <w:szCs w:val="32"/>
          <w:highlight w:val="none"/>
          <w:lang w:val="en-US" w:eastAsia="zh-CN"/>
        </w:rPr>
        <w:t>在职人员年工资总额增加，工会、福利费用增加。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172.23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屋0.0平方米，价值0.00万元。车辆3辆，价值88.00万元，其中：副部（省）级及以上领导用车0辆、主要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用车0辆、机要通信用车0辆、应急保障用车0辆、执法执勤用车2辆、特种专业技术用车0辆、离退休干部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color w:val="auto"/>
          <w:sz w:val="32"/>
          <w:szCs w:val="32"/>
        </w:rPr>
        <w:t>日常</w:t>
      </w:r>
      <w:r>
        <w:rPr>
          <w:rFonts w:hint="eastAsia" w:ascii="仿宋_GB2312" w:eastAsia="仿宋_GB2312"/>
          <w:color w:val="auto"/>
          <w:sz w:val="32"/>
          <w:szCs w:val="32"/>
          <w:lang w:eastAsia="zh-CN"/>
        </w:rPr>
        <w:t>业务</w:t>
      </w:r>
      <w:bookmarkStart w:id="48" w:name="_GoBack"/>
      <w:bookmarkEnd w:id="48"/>
      <w:r>
        <w:rPr>
          <w:rFonts w:hint="eastAsia" w:ascii="仿宋_GB2312" w:eastAsia="仿宋_GB2312"/>
          <w:color w:val="auto"/>
          <w:sz w:val="32"/>
          <w:szCs w:val="32"/>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840615"/>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A49B7"/>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7E112F"/>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7A5C51"/>
    <w:rsid w:val="55DA564E"/>
    <w:rsid w:val="5604127D"/>
    <w:rsid w:val="56166703"/>
    <w:rsid w:val="56510474"/>
    <w:rsid w:val="56861525"/>
    <w:rsid w:val="56A93273"/>
    <w:rsid w:val="56BD550C"/>
    <w:rsid w:val="56E07045"/>
    <w:rsid w:val="56FF28AF"/>
    <w:rsid w:val="57540E7D"/>
    <w:rsid w:val="577B4878"/>
    <w:rsid w:val="57926973"/>
    <w:rsid w:val="57EB0EE4"/>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413306"/>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3A1B1F"/>
    <w:rsid w:val="71473612"/>
    <w:rsid w:val="71504F32"/>
    <w:rsid w:val="7152309F"/>
    <w:rsid w:val="718F7F65"/>
    <w:rsid w:val="727B234E"/>
    <w:rsid w:val="72D068C7"/>
    <w:rsid w:val="72E42ED8"/>
    <w:rsid w:val="735F4CB9"/>
    <w:rsid w:val="73674C62"/>
    <w:rsid w:val="73845865"/>
    <w:rsid w:val="739B6D9E"/>
    <w:rsid w:val="73BC1D76"/>
    <w:rsid w:val="73EA749B"/>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2D661D"/>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5470</Words>
  <Characters>6073</Characters>
  <Lines>0</Lines>
  <Paragraphs>0</Paragraphs>
  <TotalTime>0</TotalTime>
  <ScaleCrop>false</ScaleCrop>
  <LinksUpToDate>false</LinksUpToDate>
  <CharactersWithSpaces>6083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