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吐鲁番市高昌区国土资源执法监察大队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吐鲁番市高昌区国土资源执法监察</w:t>
      </w:r>
      <w:r>
        <w:rPr>
          <w:rFonts w:hint="eastAsia" w:ascii="仿宋_GB2312" w:eastAsia="仿宋_GB2312"/>
          <w:sz w:val="32"/>
          <w:szCs w:val="32"/>
        </w:rPr>
        <w:t>大队</w:t>
      </w:r>
      <w:r>
        <w:rPr>
          <w:rFonts w:ascii="仿宋_GB2312" w:eastAsia="仿宋_GB2312"/>
          <w:sz w:val="32"/>
          <w:szCs w:val="32"/>
        </w:rPr>
        <w:t>，为</w:t>
      </w:r>
      <w:r>
        <w:rPr>
          <w:rFonts w:hint="eastAsia" w:ascii="仿宋_GB2312" w:eastAsia="仿宋_GB2312"/>
          <w:sz w:val="32"/>
          <w:szCs w:val="32"/>
        </w:rPr>
        <w:t>副科级</w:t>
      </w:r>
      <w:r>
        <w:rPr>
          <w:rFonts w:ascii="仿宋_GB2312" w:eastAsia="仿宋_GB2312"/>
          <w:sz w:val="32"/>
          <w:szCs w:val="32"/>
        </w:rPr>
        <w:t>单位，参照国家公务员制度管理。实行垂直管理，统一履行吐鲁番市高昌区国土资源执法监察职能。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2、组织对执行和遵守土地、矿产资源法律、法规、规章有关情况的监督检查，及时发现和制止土地、矿产资源违法行为。</w:t>
      </w:r>
      <w:r>
        <w:rPr>
          <w:rFonts w:ascii="仿宋_GB2312" w:eastAsia="仿宋_GB2312"/>
          <w:sz w:val="32"/>
          <w:szCs w:val="32"/>
        </w:rPr>
        <w:br w:type="textWrapping"/>
      </w:r>
      <w:r>
        <w:rPr>
          <w:rFonts w:ascii="仿宋_GB2312" w:eastAsia="仿宋_GB2312"/>
          <w:sz w:val="32"/>
          <w:szCs w:val="32"/>
        </w:rPr>
        <w:t>　　3、组织开展对贯彻和执行土地、矿产资源管理法律、法规、规章及有关政策的行政审批和行政许可行为的监督检查。</w:t>
      </w:r>
      <w:r>
        <w:rPr>
          <w:rFonts w:ascii="仿宋_GB2312" w:eastAsia="仿宋_GB2312"/>
          <w:sz w:val="32"/>
          <w:szCs w:val="32"/>
        </w:rPr>
        <w:br w:type="textWrapping"/>
      </w:r>
      <w:r>
        <w:rPr>
          <w:rFonts w:ascii="仿宋_GB2312" w:eastAsia="仿宋_GB2312"/>
          <w:sz w:val="32"/>
          <w:szCs w:val="32"/>
        </w:rPr>
        <w:t>　　4、受理对土地、矿产资源违法行为的检举、举报和控告。</w:t>
      </w:r>
      <w:r>
        <w:rPr>
          <w:rFonts w:ascii="仿宋_GB2312" w:eastAsia="仿宋_GB2312"/>
          <w:sz w:val="32"/>
          <w:szCs w:val="32"/>
        </w:rPr>
        <w:br w:type="textWrapping"/>
      </w:r>
      <w:r>
        <w:rPr>
          <w:rFonts w:ascii="仿宋_GB2312" w:eastAsia="仿宋_GB2312"/>
          <w:sz w:val="32"/>
          <w:szCs w:val="32"/>
        </w:rPr>
        <w:t>　　5、对违反土地、矿产资源管理法律法规，依法应当给予行政处分的个人和单位负责人，依法提出给予行政处分的建议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吐鲁番市高昌区国土资源执法监察大队2023年度，实有人数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2023年度收入总计127.73万元，其中：本年收入合计124.68万元，使用非财政拨款结余0.00万元，年初结转和结余3.05万元。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2023年度支出总计127.73万元，其中：本年支出合计120.30万元，结余分配0.00万元，年末结转和结余7.43万元。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减少10.60万元</w:t>
      </w:r>
      <w:r>
        <w:rPr>
          <w:rFonts w:hint="eastAsia" w:ascii="仿宋_GB2312" w:eastAsia="仿宋_GB2312"/>
          <w:sz w:val="32"/>
          <w:szCs w:val="32"/>
        </w:rPr>
        <w:t>，下降7.66%，主要原因是：</w:t>
      </w:r>
      <w:r>
        <w:rPr>
          <w:rFonts w:hint="eastAsia" w:ascii="仿宋_GB2312" w:eastAsia="仿宋_GB2312"/>
          <w:sz w:val="32"/>
          <w:szCs w:val="32"/>
          <w:lang w:eastAsia="zh-CN"/>
        </w:rPr>
        <w:t>在职人员退休</w:t>
      </w:r>
      <w:r>
        <w:rPr>
          <w:rFonts w:hint="eastAsia" w:ascii="仿宋_GB2312" w:eastAsia="仿宋_GB2312"/>
          <w:sz w:val="32"/>
          <w:szCs w:val="32"/>
        </w:rPr>
        <w:t>，职务调整</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本年收入124.68万元，其中：财政拨款收入</w:t>
      </w:r>
      <w:r>
        <w:rPr>
          <w:rFonts w:hint="eastAsia" w:ascii="仿宋_GB2312" w:eastAsia="仿宋_GB2312"/>
          <w:sz w:val="32"/>
          <w:szCs w:val="32"/>
          <w:lang w:val="zh-CN"/>
        </w:rPr>
        <w:t>124.67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本年支出120.30万元，其中：基本支出96.67万元，占80.36%；项目支出23.63万元，占19.64%；上缴上级支出0.00万元，占0.00%；经营支出0.00万元，占0.00%；对附属单位补助支出0.00万元，占0.00%。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124.67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124.67</w:t>
      </w:r>
      <w:r>
        <w:rPr>
          <w:rFonts w:hint="eastAsia" w:ascii="仿宋_GB2312" w:eastAsia="仿宋_GB2312"/>
          <w:sz w:val="32"/>
          <w:szCs w:val="32"/>
        </w:rPr>
        <w:t>万元。财政拨款支出总计</w:t>
      </w:r>
      <w:r>
        <w:rPr>
          <w:rFonts w:hint="eastAsia" w:ascii="仿宋_GB2312" w:eastAsia="仿宋_GB2312"/>
          <w:sz w:val="32"/>
          <w:szCs w:val="32"/>
          <w:lang w:val="zh-CN"/>
        </w:rPr>
        <w:t>124.67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4.37</w:t>
      </w:r>
      <w:r>
        <w:rPr>
          <w:rFonts w:hint="eastAsia" w:ascii="仿宋_GB2312" w:eastAsia="仿宋_GB2312"/>
          <w:sz w:val="32"/>
          <w:szCs w:val="32"/>
        </w:rPr>
        <w:t>万元，本年财政拨款支出</w:t>
      </w:r>
      <w:r>
        <w:rPr>
          <w:rFonts w:hint="eastAsia" w:ascii="仿宋_GB2312" w:eastAsia="仿宋_GB2312"/>
          <w:sz w:val="32"/>
          <w:szCs w:val="32"/>
          <w:lang w:val="zh-CN"/>
        </w:rPr>
        <w:t>120.30</w:t>
      </w:r>
      <w:r>
        <w:rPr>
          <w:rFonts w:hint="eastAsia" w:ascii="仿宋_GB2312" w:eastAsia="仿宋_GB2312"/>
          <w:sz w:val="32"/>
          <w:szCs w:val="32"/>
        </w:rPr>
        <w:t>万元。</w:t>
      </w:r>
    </w:p>
    <w:p>
      <w:pPr>
        <w:ind w:firstLine="640" w:firstLineChars="200"/>
        <w:rPr>
          <w:rFonts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增加2.74万元</w:t>
      </w:r>
      <w:r>
        <w:rPr>
          <w:rFonts w:hint="eastAsia" w:ascii="仿宋_GB2312" w:eastAsia="仿宋_GB2312"/>
          <w:sz w:val="32"/>
          <w:szCs w:val="32"/>
        </w:rPr>
        <w:t>，</w:t>
      </w:r>
      <w:r>
        <w:rPr>
          <w:rFonts w:hint="eastAsia" w:ascii="仿宋_GB2312" w:eastAsia="仿宋_GB2312"/>
          <w:sz w:val="32"/>
          <w:szCs w:val="32"/>
          <w:lang w:val="zh-CN"/>
        </w:rPr>
        <w:t>增长2.25%，</w:t>
      </w:r>
      <w:r>
        <w:rPr>
          <w:rFonts w:hint="eastAsia" w:ascii="仿宋_GB2312" w:eastAsia="仿宋_GB2312"/>
          <w:sz w:val="32"/>
          <w:szCs w:val="32"/>
        </w:rPr>
        <w:t>主要原因是：工资调资和绩效工资变动，费用增加。与年初预算相比，年初预算数</w:t>
      </w:r>
      <w:r>
        <w:rPr>
          <w:rFonts w:hint="eastAsia" w:ascii="仿宋_GB2312" w:eastAsia="仿宋_GB2312"/>
          <w:sz w:val="32"/>
          <w:szCs w:val="32"/>
          <w:lang w:val="zh-CN"/>
        </w:rPr>
        <w:t>105.84</w:t>
      </w:r>
      <w:r>
        <w:rPr>
          <w:rFonts w:hint="eastAsia" w:ascii="仿宋_GB2312" w:eastAsia="仿宋_GB2312"/>
          <w:sz w:val="32"/>
          <w:szCs w:val="32"/>
        </w:rPr>
        <w:t>万元，决算数</w:t>
      </w:r>
      <w:r>
        <w:rPr>
          <w:rFonts w:hint="eastAsia" w:ascii="仿宋_GB2312" w:eastAsia="仿宋_GB2312"/>
          <w:sz w:val="32"/>
          <w:szCs w:val="32"/>
          <w:lang w:val="zh-CN"/>
        </w:rPr>
        <w:t>124.67</w:t>
      </w:r>
      <w:r>
        <w:rPr>
          <w:rFonts w:hint="eastAsia" w:ascii="仿宋_GB2312" w:eastAsia="仿宋_GB2312"/>
          <w:sz w:val="32"/>
          <w:szCs w:val="32"/>
        </w:rPr>
        <w:t>万元，预决算差异率17.80%，主要原因是：</w:t>
      </w:r>
      <w:bookmarkStart w:id="16" w:name="_Toc13833"/>
      <w:bookmarkStart w:id="17" w:name="_Toc20360"/>
      <w:r>
        <w:rPr>
          <w:rFonts w:hint="eastAsia" w:eastAsia="仿宋_GB2312"/>
          <w:sz w:val="32"/>
          <w:szCs w:val="32"/>
        </w:rPr>
        <w:t>基本工资调整，绩效增资</w:t>
      </w:r>
      <w:r>
        <w:rPr>
          <w:rFonts w:hint="eastAsia" w:eastAsia="仿宋_GB2312"/>
          <w:sz w:val="32"/>
          <w:szCs w:val="32"/>
          <w:lang w:eastAsia="zh-CN"/>
        </w:rPr>
        <w:t>，预决算产生差异</w:t>
      </w:r>
      <w:r>
        <w:rPr>
          <w:rFonts w:hint="eastAsia" w:eastAsia="仿宋_GB2312"/>
          <w:sz w:val="32"/>
          <w:szCs w:val="32"/>
        </w:rPr>
        <w:t>。</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2023年度一般公共预算财政拨款支出120.30万元，占本年支出合计的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减少1.63万元</w:t>
      </w:r>
      <w:r>
        <w:rPr>
          <w:rFonts w:hint="eastAsia" w:ascii="仿宋_GB2312" w:eastAsia="仿宋_GB2312"/>
          <w:sz w:val="32"/>
          <w:szCs w:val="32"/>
        </w:rPr>
        <w:t>，</w:t>
      </w:r>
      <w:r>
        <w:rPr>
          <w:rFonts w:hint="eastAsia" w:ascii="仿宋_GB2312" w:eastAsia="仿宋_GB2312"/>
          <w:sz w:val="32"/>
          <w:szCs w:val="32"/>
          <w:lang w:val="zh-CN"/>
        </w:rPr>
        <w:t>下降1.34%，</w:t>
      </w:r>
      <w:r>
        <w:rPr>
          <w:rFonts w:hint="eastAsia" w:ascii="仿宋_GB2312" w:eastAsia="仿宋_GB2312"/>
          <w:sz w:val="32"/>
          <w:szCs w:val="32"/>
        </w:rPr>
        <w:t>主要原因是：</w:t>
      </w:r>
      <w:r>
        <w:rPr>
          <w:rFonts w:hint="eastAsia" w:ascii="仿宋_GB2312" w:eastAsia="仿宋_GB2312"/>
          <w:sz w:val="32"/>
          <w:szCs w:val="32"/>
          <w:lang w:eastAsia="zh-CN"/>
        </w:rPr>
        <w:t>在职人员退休</w:t>
      </w:r>
      <w:r>
        <w:rPr>
          <w:rFonts w:hint="eastAsia" w:ascii="仿宋_GB2312" w:eastAsia="仿宋_GB2312"/>
          <w:sz w:val="32"/>
          <w:szCs w:val="32"/>
        </w:rPr>
        <w:t>，职务调整</w:t>
      </w:r>
      <w:r>
        <w:rPr>
          <w:rFonts w:hint="eastAsia" w:ascii="仿宋_GB2312" w:eastAsia="仿宋_GB2312"/>
          <w:sz w:val="32"/>
          <w:szCs w:val="32"/>
          <w:lang w:eastAsia="zh-CN"/>
        </w:rPr>
        <w:t>，基本支出减少，</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105.84</w:t>
      </w:r>
      <w:r>
        <w:rPr>
          <w:rFonts w:hint="eastAsia" w:ascii="仿宋_GB2312" w:eastAsia="仿宋_GB2312"/>
          <w:sz w:val="32"/>
          <w:szCs w:val="32"/>
        </w:rPr>
        <w:t>万元，决算数</w:t>
      </w:r>
      <w:r>
        <w:rPr>
          <w:rFonts w:hint="eastAsia" w:ascii="仿宋_GB2312" w:eastAsia="仿宋_GB2312"/>
          <w:sz w:val="32"/>
          <w:szCs w:val="32"/>
          <w:lang w:val="zh-CN"/>
        </w:rPr>
        <w:t>120.30</w:t>
      </w:r>
      <w:r>
        <w:rPr>
          <w:rFonts w:hint="eastAsia" w:ascii="仿宋_GB2312" w:eastAsia="仿宋_GB2312"/>
          <w:sz w:val="32"/>
          <w:szCs w:val="32"/>
        </w:rPr>
        <w:t>万元，预决算差异率</w:t>
      </w:r>
      <w:r>
        <w:rPr>
          <w:rFonts w:hint="eastAsia" w:ascii="仿宋_GB2312" w:eastAsia="仿宋_GB2312"/>
          <w:sz w:val="32"/>
          <w:szCs w:val="32"/>
          <w:lang w:val="zh-CN"/>
        </w:rPr>
        <w:t>13.67%</w:t>
      </w:r>
      <w:r>
        <w:rPr>
          <w:rFonts w:hint="eastAsia" w:ascii="仿宋_GB2312" w:eastAsia="仿宋_GB2312"/>
          <w:sz w:val="32"/>
          <w:szCs w:val="32"/>
        </w:rPr>
        <w:t>，主要原因是：</w:t>
      </w:r>
      <w:r>
        <w:rPr>
          <w:rFonts w:hint="eastAsia" w:eastAsia="仿宋_GB2312"/>
          <w:sz w:val="32"/>
          <w:szCs w:val="32"/>
        </w:rPr>
        <w:t>工资调整，绩效增资</w:t>
      </w:r>
      <w:r>
        <w:rPr>
          <w:rFonts w:hint="eastAsia" w:eastAsia="仿宋_GB2312"/>
          <w:sz w:val="32"/>
          <w:szCs w:val="32"/>
          <w:lang w:eastAsia="zh-CN"/>
        </w:rPr>
        <w:t>，预决算产生差异</w:t>
      </w:r>
      <w:r>
        <w:rPr>
          <w:rFonts w:hint="eastAsia"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20.15</w:t>
      </w:r>
      <w:r>
        <w:rPr>
          <w:rFonts w:ascii="仿宋_GB2312" w:eastAsia="仿宋_GB2312"/>
          <w:kern w:val="2"/>
          <w:sz w:val="32"/>
          <w:szCs w:val="32"/>
          <w:lang w:val="zh-CN"/>
        </w:rPr>
        <w:t>万元，占</w:t>
      </w:r>
      <w:r>
        <w:rPr>
          <w:rFonts w:hint="eastAsia" w:ascii="仿宋_GB2312" w:eastAsia="仿宋_GB2312"/>
          <w:kern w:val="2"/>
          <w:sz w:val="32"/>
          <w:szCs w:val="32"/>
          <w:lang w:val="zh-CN"/>
        </w:rPr>
        <w:t>16.75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6.72</w:t>
      </w:r>
      <w:r>
        <w:rPr>
          <w:rFonts w:ascii="仿宋_GB2312" w:eastAsia="仿宋_GB2312"/>
          <w:kern w:val="2"/>
          <w:sz w:val="32"/>
          <w:szCs w:val="32"/>
          <w:lang w:val="zh-CN"/>
        </w:rPr>
        <w:t>万元，占</w:t>
      </w:r>
      <w:r>
        <w:rPr>
          <w:rFonts w:hint="eastAsia" w:ascii="仿宋_GB2312" w:eastAsia="仿宋_GB2312"/>
          <w:kern w:val="2"/>
          <w:sz w:val="32"/>
          <w:szCs w:val="32"/>
          <w:lang w:val="zh-CN"/>
        </w:rPr>
        <w:t>5.59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88.08</w:t>
      </w:r>
      <w:r>
        <w:rPr>
          <w:rFonts w:ascii="仿宋_GB2312" w:eastAsia="仿宋_GB2312"/>
          <w:kern w:val="2"/>
          <w:sz w:val="32"/>
          <w:szCs w:val="32"/>
          <w:lang w:val="zh-CN"/>
        </w:rPr>
        <w:t>万元，占</w:t>
      </w:r>
      <w:r>
        <w:rPr>
          <w:rFonts w:hint="eastAsia" w:ascii="仿宋_GB2312" w:eastAsia="仿宋_GB2312"/>
          <w:kern w:val="2"/>
          <w:sz w:val="32"/>
          <w:szCs w:val="32"/>
          <w:lang w:val="zh-CN"/>
        </w:rPr>
        <w:t>73.22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5.36</w:t>
      </w:r>
      <w:r>
        <w:rPr>
          <w:rFonts w:ascii="仿宋_GB2312" w:eastAsia="仿宋_GB2312"/>
          <w:kern w:val="2"/>
          <w:sz w:val="32"/>
          <w:szCs w:val="32"/>
          <w:lang w:val="zh-CN"/>
        </w:rPr>
        <w:t>万元，占</w:t>
      </w:r>
      <w:r>
        <w:rPr>
          <w:rFonts w:hint="eastAsia" w:ascii="仿宋_GB2312" w:eastAsia="仿宋_GB2312"/>
          <w:kern w:val="2"/>
          <w:sz w:val="32"/>
          <w:szCs w:val="32"/>
          <w:lang w:val="zh-CN"/>
        </w:rPr>
        <w:t>4.45</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1.卫生健康支出（类）行政事业单位医疗（款）行政单位医疗（项）:支出决算数为3.59万元，比上年决算减少0.17万元，下降4.56%，主要原因是：</w:t>
      </w:r>
      <w:r>
        <w:rPr>
          <w:rFonts w:hint="eastAsia" w:ascii="仿宋_GB2312" w:eastAsia="仿宋_GB2312"/>
          <w:sz w:val="32"/>
          <w:szCs w:val="32"/>
          <w:lang w:eastAsia="zh-CN"/>
        </w:rPr>
        <w:t>在职人员退休</w:t>
      </w:r>
      <w:r>
        <w:rPr>
          <w:rFonts w:hint="eastAsia" w:ascii="仿宋_GB2312" w:eastAsia="仿宋_GB2312"/>
          <w:sz w:val="32"/>
          <w:szCs w:val="32"/>
        </w:rPr>
        <w:t>，职务调整</w:t>
      </w:r>
      <w:r>
        <w:rPr>
          <w:rFonts w:hint="eastAsia" w:ascii="仿宋_GB2312" w:eastAsia="仿宋_GB2312"/>
          <w:sz w:val="32"/>
          <w:szCs w:val="32"/>
          <w:lang w:eastAsia="zh-CN"/>
        </w:rPr>
        <w:t>，</w:t>
      </w:r>
      <w:r>
        <w:rPr>
          <w:rFonts w:hint="eastAsia" w:eastAsia="仿宋_GB2312"/>
          <w:sz w:val="32"/>
          <w:szCs w:val="32"/>
        </w:rPr>
        <w:t>行政单位医疗</w:t>
      </w:r>
      <w:r>
        <w:rPr>
          <w:rFonts w:hint="eastAsia" w:eastAsia="仿宋_GB2312"/>
          <w:sz w:val="32"/>
          <w:szCs w:val="32"/>
          <w:lang w:eastAsia="zh-CN"/>
        </w:rPr>
        <w:t>支出</w:t>
      </w:r>
      <w:r>
        <w:rPr>
          <w:rFonts w:hint="eastAsia" w:eastAsia="仿宋_GB2312"/>
          <w:sz w:val="32"/>
          <w:szCs w:val="32"/>
        </w:rPr>
        <w:t>减少。</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2.卫生健康支出（类）行政事业单位医疗（款）公务员医疗补助（项）:支出决算数为3.13万元，比上年决算增加0.20万元，增长6.68%，主要原因是：基本工资调整，绩效增资，</w:t>
      </w:r>
      <w:r>
        <w:rPr>
          <w:rFonts w:hint="eastAsia" w:eastAsia="仿宋_GB2312"/>
          <w:sz w:val="32"/>
          <w:szCs w:val="32"/>
          <w:lang w:val="zh-CN"/>
        </w:rPr>
        <w:t>导致比上年略有增加。</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3.自然资源海洋气象等支出（类）自然资源事务（款）其他自然资源事务支出（项）:支出决算数为23.63万元，比上年决算减少4.77万元，下降16.80%，主要原因是：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eastAsia="仿宋_GB2312"/>
          <w:sz w:val="32"/>
          <w:szCs w:val="32"/>
        </w:rPr>
        <w:t>。</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4.自然资源海洋气象等支出（类）自然资源事务（款）行政运行（项）:支出决算数为64.45万元，比上年决算减少4.62万元，下降6.68%，主要原因是：</w:t>
      </w:r>
      <w:r>
        <w:rPr>
          <w:rFonts w:hint="eastAsia" w:ascii="仿宋_GB2312" w:eastAsia="仿宋_GB2312"/>
          <w:sz w:val="32"/>
          <w:szCs w:val="32"/>
          <w:lang w:eastAsia="zh-CN"/>
        </w:rPr>
        <w:t>在职人员退休</w:t>
      </w:r>
      <w:r>
        <w:rPr>
          <w:rFonts w:hint="eastAsia" w:ascii="仿宋_GB2312" w:eastAsia="仿宋_GB2312"/>
          <w:sz w:val="32"/>
          <w:szCs w:val="32"/>
        </w:rPr>
        <w:t>，职务调整</w:t>
      </w:r>
      <w:r>
        <w:rPr>
          <w:rFonts w:hint="eastAsia" w:ascii="仿宋_GB2312" w:eastAsia="仿宋_GB2312"/>
          <w:sz w:val="32"/>
          <w:szCs w:val="32"/>
          <w:lang w:eastAsia="zh-CN"/>
        </w:rPr>
        <w:t>，</w:t>
      </w:r>
      <w:r>
        <w:rPr>
          <w:rFonts w:hint="eastAsia" w:eastAsia="仿宋_GB2312"/>
          <w:sz w:val="32"/>
          <w:szCs w:val="32"/>
        </w:rPr>
        <w:t>导致费用减少。</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5.住房保障支出（类）住房改革支出（款）住房公积金（项）:支出决算数为5.36万元，比上年决算增加0.14万元，增长2.73%，主要原因是：基本工资调整，绩效增资，住房公积金</w:t>
      </w:r>
      <w:r>
        <w:rPr>
          <w:rFonts w:hint="eastAsia" w:eastAsia="仿宋_GB2312"/>
          <w:sz w:val="32"/>
          <w:szCs w:val="32"/>
          <w:lang w:val="zh-CN"/>
        </w:rPr>
        <w:t>基数有所调整，导致比上年有所增加。</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6.社会保障和就业支出（类）行政事业单位养老支出（款）行政单位离退休（项）:支出决算数为4.30万元，比上年决算减少1.31万元，下降23.34%，主要原因是：</w:t>
      </w:r>
      <w:r>
        <w:rPr>
          <w:rFonts w:hint="eastAsia" w:eastAsia="仿宋_GB2312" w:cs="Times New Roman"/>
          <w:color w:val="auto"/>
          <w:kern w:val="2"/>
          <w:sz w:val="32"/>
          <w:szCs w:val="32"/>
          <w:highlight w:val="none"/>
          <w:lang w:val="en-US" w:eastAsia="zh-CN" w:bidi="ar-SA"/>
        </w:rPr>
        <w:t>退休人员社保政策的调整，支出减少</w:t>
      </w:r>
      <w:r>
        <w:rPr>
          <w:rFonts w:hint="eastAsia" w:eastAsia="仿宋_GB2312"/>
          <w:sz w:val="32"/>
          <w:szCs w:val="32"/>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7.社会保障和就业支出（类）行政事业单位养老支出（款）机关事业单位职业年金缴费支出（项）:支出决算数为8.71万元，比上年决算增加8.71万元，增长100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职业年金坐实</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7.14万元，比上年决算增加0.19万元，增长2.73%，主要原因是：基本工资调整，绩效增资，养老保险缴费</w:t>
      </w:r>
      <w:r>
        <w:rPr>
          <w:rFonts w:hint="eastAsia" w:eastAsia="仿宋_GB2312"/>
          <w:sz w:val="32"/>
          <w:szCs w:val="32"/>
          <w:lang w:val="zh-CN"/>
        </w:rPr>
        <w:t>比上年有所增加。</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96.67万元，其中：人员经费90.60万元，包括：基本工资、津贴补贴、奖金、机关事业单位基本养老保险缴费、职业年金缴费、职工基本医疗保险缴费、公务员医疗补助缴费、其他社会保障缴费、住房公积金、其他工资福利支出、退休费、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公用经费6.07万元，包括：办公费、邮电费、差旅费、劳务费、工会经费、福利费、其他交通费用、其他商品和服务支出。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本年无此业务发生。其中：因公出国（境）费支出0.00万元，占0.00%，比上年增加0.00万元，增长0.00%，主要原因是：本年无此业务发生；公务用车购置及运行维护费支出0.00万元，占0.00%，比上年增加0.00万元，增长0.00%，主要原因是：本年无此业务发生；公务接待费支出0.00万元，占0.00%，比上年增加0.00万元，增长0.00%，主要原因是：本年无此业务发生。</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因公出国（境）费支出0.00万元，开支内容包括本年无此业务发生。单位全年安排的因公出国（境）团组0个，因公出国（境）0人次。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业务发生。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原因是：本单位有一辆编制内执法执勤用车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公务接待费0.00万元，开支内容包括本年无此业务发生。单位全年安排的国内公务接待0批次，0人次。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预算数0.00万元，决算数0.00万元，预决算差异率0.00%，主要原因是：本年无此业务发生。其中：因公出国（境）费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0.00万元，决算数0.00万元，预决算差异率0.00%，主要原因是：本年无此业务发生；公务用车购置费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预算数0.00万元，决算数0.00万元，预决算差异率0.00%，主要原因是：本年无此业务发生；公务用车运行费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预算数0.00万元，决算数0.00万元，预决算差异率0.00%，主要原因是：本年无此业务发生；公务接待费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预算数0.00万元，决算数0.00万元，预决算差异率0.00%，主要原因是：本年无此业务发生。</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吐鲁番市高昌区国土资源执法监察大队（行政单位和参照公务员法管理事业单位）机关运行经费支出6.07万元，比上年减少0.12万元，下降1.98%，主要原因是：人员</w:t>
      </w:r>
      <w:r>
        <w:rPr>
          <w:rFonts w:hint="eastAsia" w:eastAsia="仿宋_GB2312"/>
          <w:sz w:val="32"/>
          <w:szCs w:val="32"/>
          <w:lang w:eastAsia="zh-CN"/>
        </w:rPr>
        <w:t>退休</w:t>
      </w:r>
      <w:r>
        <w:rPr>
          <w:rFonts w:hint="eastAsia" w:eastAsia="仿宋_GB2312"/>
          <w:sz w:val="32"/>
          <w:szCs w:val="32"/>
        </w:rPr>
        <w:t>，</w:t>
      </w:r>
      <w:r>
        <w:rPr>
          <w:rFonts w:hint="eastAsia" w:eastAsia="仿宋_GB2312"/>
          <w:sz w:val="32"/>
          <w:szCs w:val="32"/>
          <w:lang w:eastAsia="zh-CN"/>
        </w:rPr>
        <w:t>工作业务减少，公用</w:t>
      </w:r>
      <w:r>
        <w:rPr>
          <w:rFonts w:hint="eastAsia" w:eastAsia="仿宋_GB2312"/>
          <w:sz w:val="32"/>
          <w:szCs w:val="32"/>
        </w:rPr>
        <w:t>经费减少。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。本年度本单位无此业务发生。</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57.83</w:t>
      </w:r>
      <w:r>
        <w:rPr>
          <w:rFonts w:hint="eastAsia" w:eastAsia="仿宋_GB2312"/>
          <w:sz w:val="32"/>
          <w:szCs w:val="32"/>
        </w:rPr>
        <w:t>万元，房</w:t>
      </w:r>
      <w:r>
        <w:rPr>
          <w:rFonts w:hint="eastAsia" w:eastAsia="仿宋_GB2312"/>
          <w:sz w:val="32"/>
          <w:szCs w:val="32"/>
          <w:lang w:val="zh-CN"/>
        </w:rPr>
        <w:t>屋0.0平方米，价值0.00万元。车辆1辆，价值15.98万元，其中：副部（省）级及以上领导用车0辆、主要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ascii="仿宋_GB2312" w:eastAsia="仿宋_GB2312"/>
          <w:sz w:val="32"/>
          <w:szCs w:val="32"/>
          <w:lang w:val="zh-CN"/>
        </w:rPr>
        <w:t>我单位无其他用车</w:t>
      </w:r>
      <w:bookmarkStart w:id="48" w:name="_GoBack"/>
      <w:bookmarkEnd w:id="48"/>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kern w:val="0"/>
          <w:sz w:val="32"/>
          <w:szCs w:val="32"/>
        </w:rPr>
        <w:t>。</w:t>
      </w:r>
    </w:p>
    <w:p>
      <w:pPr>
        <w:jc w:val="center"/>
        <w:outlineLvl w:val="0"/>
        <w:rPr>
          <w:rFonts w:ascii="黑体" w:hAnsi="黑体" w:eastAsia="黑体"/>
          <w:sz w:val="32"/>
          <w:szCs w:val="32"/>
        </w:rPr>
      </w:pPr>
      <w:bookmarkStart w:id="30" w:name="_Toc24143"/>
      <w:bookmarkStart w:id="31" w:name="_Toc3250"/>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 w:name="KSO_WPS_MARK_KEY" w:val="41ee2a61-2d54-4f93-83be-afdb9a40d732"/>
  </w:docVars>
  <w:rsids>
    <w:rsidRoot w:val="00A1694E"/>
    <w:rsid w:val="000F487B"/>
    <w:rsid w:val="001B28D7"/>
    <w:rsid w:val="00213C59"/>
    <w:rsid w:val="00311102"/>
    <w:rsid w:val="003210CE"/>
    <w:rsid w:val="003C237A"/>
    <w:rsid w:val="00455D65"/>
    <w:rsid w:val="004C4EF6"/>
    <w:rsid w:val="007161D1"/>
    <w:rsid w:val="00754F58"/>
    <w:rsid w:val="007C1F95"/>
    <w:rsid w:val="00A1694E"/>
    <w:rsid w:val="00A30474"/>
    <w:rsid w:val="00A338F4"/>
    <w:rsid w:val="00B70D59"/>
    <w:rsid w:val="00BD669B"/>
    <w:rsid w:val="00C524F4"/>
    <w:rsid w:val="00CF3773"/>
    <w:rsid w:val="00DB142D"/>
    <w:rsid w:val="00E37DA8"/>
    <w:rsid w:val="00EA2304"/>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9A0E93"/>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9057E1"/>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2107A"/>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220CF"/>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5152</Words>
  <Characters>5724</Characters>
  <Lines>51</Lines>
  <Paragraphs>14</Paragraphs>
  <TotalTime>0</TotalTime>
  <ScaleCrop>false</ScaleCrop>
  <LinksUpToDate>false</LinksUpToDate>
  <CharactersWithSpaces>5745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2024-08-12T12:30:00Z</dcterms:created>
  <dc:creator>GXR</dc:creator>
  <cp:lastModifiedBy>Administrator</cp:lastModifiedBy>
  <dcterms:modified xsi:type="dcterms:W3CDTF">2024-09-07T23:34:32Z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