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2B578">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5BC31F2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0674E9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墨玉县国土资源执法监察大队</w:t>
      </w:r>
    </w:p>
    <w:p w14:paraId="482815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C0E003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24F2120">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958467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5C1536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15E1C1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0B69DB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7079DC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C7561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7413A3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80ECB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E069F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E992DD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28B01F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C6037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3968A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EC66D7F">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1C878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CB4ED0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D7C8884">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1C106A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E5DB6A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84F55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5B121C5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ABF6BB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D05E45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7EF72C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DE9878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6A79A5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8A918F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36085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A3FB93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068987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32AA9E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6633BF8E">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71A5A7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0FA2C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D00D9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022582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sz w:val="32"/>
          <w:szCs w:val="32"/>
          <w:lang w:val="en-US" w:eastAsia="zh-CN"/>
        </w:rPr>
        <w:t>墨玉县</w:t>
      </w:r>
      <w:r>
        <w:rPr>
          <w:rFonts w:ascii="仿宋_GB2312" w:eastAsia="仿宋_GB2312"/>
          <w:sz w:val="32"/>
          <w:szCs w:val="32"/>
        </w:rPr>
        <w:t>国土资源执法监察</w:t>
      </w:r>
      <w:r>
        <w:rPr>
          <w:rFonts w:hint="eastAsia" w:ascii="仿宋_GB2312" w:eastAsia="仿宋_GB2312"/>
          <w:sz w:val="32"/>
          <w:szCs w:val="32"/>
          <w:lang w:val="en-US" w:eastAsia="zh-CN"/>
        </w:rPr>
        <w:t>大</w:t>
      </w:r>
      <w:r>
        <w:rPr>
          <w:rFonts w:ascii="仿宋_GB2312" w:eastAsia="仿宋_GB2312"/>
          <w:sz w:val="32"/>
          <w:szCs w:val="32"/>
        </w:rPr>
        <w:t>队，为自治区自然资源厅下属</w:t>
      </w:r>
      <w:r>
        <w:rPr>
          <w:rFonts w:hint="eastAsia" w:ascii="仿宋_GB2312" w:eastAsia="仿宋_GB2312"/>
          <w:sz w:val="32"/>
          <w:szCs w:val="32"/>
          <w:lang w:val="en-US" w:eastAsia="zh-CN"/>
        </w:rPr>
        <w:t>四</w:t>
      </w:r>
      <w:r>
        <w:rPr>
          <w:rFonts w:ascii="仿宋_GB2312" w:eastAsia="仿宋_GB2312"/>
          <w:sz w:val="32"/>
          <w:szCs w:val="32"/>
        </w:rPr>
        <w:t>级预算单位，参照国家公务员制度管理。实行垂直管理，统一履行自治区国土资源执法监察职能。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1.宣传和贯彻预算国家、自治区有关土地、矿产资源的法律、法规、规章和政策。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2.为保护和合理利用土地及矿产资源提供执法保障，对</w:t>
      </w:r>
      <w:r>
        <w:rPr>
          <w:rFonts w:hint="eastAsia" w:ascii="仿宋_GB2312" w:eastAsia="仿宋_GB2312"/>
          <w:sz w:val="32"/>
          <w:szCs w:val="32"/>
          <w:lang w:val="en-US" w:eastAsia="zh-CN"/>
        </w:rPr>
        <w:t>墨玉县</w:t>
      </w:r>
      <w:r>
        <w:rPr>
          <w:rFonts w:ascii="仿宋_GB2312" w:eastAsia="仿宋_GB2312"/>
          <w:sz w:val="32"/>
          <w:szCs w:val="32"/>
        </w:rPr>
        <w:t xml:space="preserve">土地、矿产资源行政执法。 </w:t>
      </w:r>
      <w:bookmarkStart w:id="48" w:name="_GoBack"/>
      <w:bookmarkEnd w:id="48"/>
      <w:r>
        <w:rPr>
          <w:rFonts w:ascii="仿宋_GB2312" w:eastAsia="仿宋_GB2312"/>
          <w:sz w:val="32"/>
          <w:szCs w:val="32"/>
        </w:rPr>
        <w:br w:type="textWrapping"/>
      </w:r>
      <w:r>
        <w:rPr>
          <w:rFonts w:ascii="仿宋_GB2312" w:eastAsia="仿宋_GB2312"/>
          <w:sz w:val="32"/>
          <w:szCs w:val="32"/>
        </w:rPr>
        <w:t>　　3.完成自治区国土资源执法监察总队、</w:t>
      </w:r>
      <w:r>
        <w:rPr>
          <w:rFonts w:hint="eastAsia" w:ascii="仿宋_GB2312" w:eastAsia="仿宋_GB2312"/>
          <w:sz w:val="32"/>
          <w:szCs w:val="32"/>
          <w:lang w:val="en-US" w:eastAsia="zh-CN"/>
        </w:rPr>
        <w:t>和田地区支队和墨玉县县</w:t>
      </w:r>
      <w:r>
        <w:rPr>
          <w:rFonts w:ascii="仿宋_GB2312" w:eastAsia="仿宋_GB2312"/>
          <w:sz w:val="32"/>
          <w:szCs w:val="32"/>
        </w:rPr>
        <w:t>委</w:t>
      </w:r>
      <w:r>
        <w:rPr>
          <w:rFonts w:hint="eastAsia" w:ascii="仿宋_GB2312" w:eastAsia="仿宋_GB2312"/>
          <w:sz w:val="32"/>
          <w:szCs w:val="32"/>
        </w:rPr>
        <w:t>县</w:t>
      </w:r>
      <w:r>
        <w:rPr>
          <w:rFonts w:ascii="仿宋_GB2312" w:eastAsia="仿宋_GB2312"/>
          <w:sz w:val="32"/>
          <w:szCs w:val="32"/>
        </w:rPr>
        <w:t>政府交办的其他工作</w:t>
      </w:r>
      <w:r>
        <w:rPr>
          <w:rFonts w:hint="eastAsia" w:ascii="仿宋_GB2312" w:eastAsia="仿宋_GB2312"/>
          <w:color w:val="auto"/>
          <w:sz w:val="32"/>
          <w:szCs w:val="32"/>
          <w:highlight w:val="none"/>
        </w:rPr>
        <w:t>。</w:t>
      </w:r>
    </w:p>
    <w:p w14:paraId="1FD080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321F6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墨玉县国土资源执法监察大队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14:paraId="1F77C55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kern w:val="0"/>
          <w:sz w:val="32"/>
          <w:szCs w:val="32"/>
        </w:rPr>
        <w:t>，下设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p>
    <w:p w14:paraId="31D1DA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2633B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2246E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163.95万元，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161.16万元，使用非财政拨款结余0.00万元，年初结转和结余2.79万元。</w:t>
      </w:r>
    </w:p>
    <w:p w14:paraId="0E5775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163.95万元，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157.20万元，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0.00万元，年末结转和结余6.75万元。</w:t>
      </w:r>
    </w:p>
    <w:p w14:paraId="00566A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减少11.98万元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下降6.81%</w:t>
      </w:r>
      <w:r>
        <w:rPr>
          <w:rFonts w:hint="eastAsia" w:ascii="仿宋_GB2312" w:eastAsia="仿宋_GB2312"/>
          <w:color w:val="auto"/>
          <w:spacing w:val="0"/>
          <w:sz w:val="32"/>
          <w:szCs w:val="32"/>
          <w:highlight w:val="none"/>
          <w:lang w:eastAsia="zh-CN"/>
        </w:rPr>
        <w:t>，主要原因是：本年</w:t>
      </w:r>
      <w:r>
        <w:rPr>
          <w:rFonts w:hint="eastAsia" w:ascii="仿宋_GB2312" w:eastAsia="仿宋_GB2312"/>
          <w:color w:val="auto"/>
          <w:spacing w:val="0"/>
          <w:sz w:val="32"/>
          <w:szCs w:val="32"/>
          <w:highlight w:val="none"/>
          <w:lang w:val="en-US" w:eastAsia="zh-CN"/>
        </w:rPr>
        <w:t>缩减经费，节约开支，</w:t>
      </w:r>
      <w:r>
        <w:rPr>
          <w:rFonts w:hint="eastAsia" w:ascii="仿宋_GB2312" w:eastAsia="仿宋_GB2312"/>
          <w:sz w:val="32"/>
          <w:szCs w:val="32"/>
        </w:rPr>
        <w:t>项目经费减少</w:t>
      </w:r>
      <w:r>
        <w:rPr>
          <w:rFonts w:hint="eastAsia" w:ascii="仿宋_GB2312" w:eastAsia="仿宋_GB2312"/>
          <w:color w:val="auto"/>
          <w:spacing w:val="0"/>
          <w:sz w:val="32"/>
          <w:szCs w:val="32"/>
          <w:highlight w:val="none"/>
          <w:lang w:eastAsia="zh-CN"/>
        </w:rPr>
        <w:t>。</w:t>
      </w:r>
    </w:p>
    <w:p w14:paraId="282186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14E13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161.16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161.14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288484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72A701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本年支出157.20万元，其中：基本支出131.14万元，占83.43%；项目支出26.05万元，占16.57%；上缴上级支出0.00万元，占0.00%；经营支出0.00万元，占0.00%；对附属单位补助支出0.00万元，占0.00%。</w:t>
      </w:r>
    </w:p>
    <w:p w14:paraId="537A88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33895E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161.14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161.14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161.14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3.95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157.20</w:t>
      </w:r>
      <w:r>
        <w:rPr>
          <w:rFonts w:hint="eastAsia" w:ascii="仿宋_GB2312" w:eastAsia="仿宋_GB2312"/>
          <w:color w:val="auto"/>
          <w:spacing w:val="0"/>
          <w:sz w:val="32"/>
          <w:szCs w:val="32"/>
          <w:highlight w:val="none"/>
          <w:lang w:eastAsia="zh-CN"/>
        </w:rPr>
        <w:t>万元。</w:t>
      </w:r>
    </w:p>
    <w:p w14:paraId="701852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增加11.56万元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增长7.73%，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146.09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161.14</w:t>
      </w:r>
      <w:r>
        <w:rPr>
          <w:rFonts w:hint="eastAsia" w:ascii="仿宋_GB2312" w:eastAsia="仿宋_GB2312"/>
          <w:color w:val="auto"/>
          <w:spacing w:val="0"/>
          <w:sz w:val="32"/>
          <w:szCs w:val="32"/>
          <w:highlight w:val="none"/>
          <w:lang w:eastAsia="zh-CN"/>
        </w:rPr>
        <w:t>万元，预决算差异率10.30%，主要原因是：</w:t>
      </w:r>
      <w:r>
        <w:rPr>
          <w:rFonts w:hint="eastAsia" w:ascii="仿宋_GB2312" w:eastAsia="仿宋_GB2312"/>
          <w:sz w:val="32"/>
          <w:szCs w:val="32"/>
        </w:rPr>
        <w:t>人员调整基础工资，并补发调整部分，因此出现支出预决算差异</w:t>
      </w:r>
      <w:r>
        <w:rPr>
          <w:rFonts w:hint="eastAsia" w:ascii="仿宋_GB2312" w:eastAsia="仿宋_GB2312"/>
          <w:color w:val="auto"/>
          <w:spacing w:val="0"/>
          <w:sz w:val="32"/>
          <w:szCs w:val="32"/>
          <w:highlight w:val="none"/>
          <w:lang w:eastAsia="zh-CN"/>
        </w:rPr>
        <w:t>。</w:t>
      </w:r>
    </w:p>
    <w:p w14:paraId="5051A5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7A592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67844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2023年度一般公共预算财政拨款支出157.20万元，占本年支出合计的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增加7.61万元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增长5.09%，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人员职务职级变动、人员基础工资调高，人员类支出</w:t>
      </w:r>
      <w:r>
        <w:rPr>
          <w:rFonts w:hint="eastAsia" w:ascii="仿宋_GB2312" w:eastAsia="仿宋_GB2312"/>
          <w:sz w:val="32"/>
          <w:szCs w:val="32"/>
          <w:lang w:eastAsia="zh-CN"/>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146.09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157.20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7.60%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人员调整基础工资，并补发调整部分，因此出现支出预决算差异</w:t>
      </w:r>
      <w:r>
        <w:rPr>
          <w:rFonts w:hint="eastAsia" w:ascii="仿宋_GB2312" w:eastAsia="仿宋_GB2312"/>
          <w:color w:val="auto"/>
          <w:spacing w:val="0"/>
          <w:sz w:val="32"/>
          <w:szCs w:val="32"/>
          <w:highlight w:val="none"/>
          <w:lang w:eastAsia="zh-CN"/>
        </w:rPr>
        <w:t>。</w:t>
      </w:r>
    </w:p>
    <w:p w14:paraId="5BE1ECF5">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657308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27.15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17.27</w:t>
      </w:r>
      <w:r>
        <w:rPr>
          <w:rFonts w:hint="default" w:ascii="仿宋_GB2312" w:hAnsi="Times New Roman" w:eastAsia="仿宋_GB2312" w:cs="Times New Roman"/>
          <w:color w:val="auto"/>
          <w:spacing w:val="0"/>
          <w:kern w:val="2"/>
          <w:sz w:val="32"/>
          <w:szCs w:val="32"/>
          <w:highlight w:val="none"/>
          <w:lang w:val="zh-CN" w:eastAsia="zh-CN" w:bidi="ar-SA"/>
        </w:rPr>
        <w:t>%；</w:t>
      </w:r>
    </w:p>
    <w:p w14:paraId="0869F58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9.47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6.03</w:t>
      </w:r>
      <w:r>
        <w:rPr>
          <w:rFonts w:hint="default" w:ascii="仿宋_GB2312" w:hAnsi="Times New Roman" w:eastAsia="仿宋_GB2312" w:cs="Times New Roman"/>
          <w:color w:val="auto"/>
          <w:spacing w:val="0"/>
          <w:kern w:val="2"/>
          <w:sz w:val="32"/>
          <w:szCs w:val="32"/>
          <w:highlight w:val="none"/>
          <w:lang w:val="zh-CN" w:eastAsia="zh-CN" w:bidi="ar-SA"/>
        </w:rPr>
        <w:t>%；</w:t>
      </w:r>
    </w:p>
    <w:p w14:paraId="20AAA60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113.01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71.89</w:t>
      </w:r>
      <w:r>
        <w:rPr>
          <w:rFonts w:hint="default" w:ascii="仿宋_GB2312" w:hAnsi="Times New Roman" w:eastAsia="仿宋_GB2312" w:cs="Times New Roman"/>
          <w:color w:val="auto"/>
          <w:spacing w:val="0"/>
          <w:kern w:val="2"/>
          <w:sz w:val="32"/>
          <w:szCs w:val="32"/>
          <w:highlight w:val="none"/>
          <w:lang w:val="zh-CN" w:eastAsia="zh-CN" w:bidi="ar-SA"/>
        </w:rPr>
        <w:t>%；</w:t>
      </w:r>
    </w:p>
    <w:p w14:paraId="2EAD011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4.81</w:t>
      </w:r>
      <w:r>
        <w:rPr>
          <w:rFonts w:hint="default" w:ascii="仿宋_GB2312" w:hAnsi="Times New Roman" w:eastAsia="仿宋_GB2312" w:cs="Times New Roman"/>
          <w:color w:val="auto"/>
          <w:spacing w:val="0"/>
          <w:kern w:val="2"/>
          <w:sz w:val="32"/>
          <w:szCs w:val="32"/>
          <w:highlight w:val="none"/>
          <w:lang w:val="zh-CN" w:eastAsia="zh-CN" w:bidi="ar-SA"/>
        </w:rPr>
        <w:t>%；</w:t>
      </w:r>
    </w:p>
    <w:p w14:paraId="5C01DD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CB1C7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1.卫生健康支出（类）行政事业单位医疗（款）行政单位医疗（项）:支出决算数为5.06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2.58%，主要原因是：</w:t>
      </w:r>
      <w:r>
        <w:rPr>
          <w:rFonts w:hint="eastAsia" w:ascii="仿宋_GB2312" w:eastAsia="仿宋_GB2312"/>
          <w:sz w:val="32"/>
          <w:szCs w:val="32"/>
        </w:rPr>
        <w:t>单位人员职务职级调整、基础工资调增等原因，单位基本医疗缴费基数增高，因此医疗缴费支出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26FF6E9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14.90%，主要原因是：</w:t>
      </w:r>
      <w:r>
        <w:rPr>
          <w:rFonts w:hint="eastAsia" w:ascii="仿宋_GB2312" w:eastAsia="仿宋_GB2312"/>
          <w:sz w:val="32"/>
          <w:szCs w:val="32"/>
        </w:rPr>
        <w:t>单位人员职务职级调整、基础工资调增等原因，单位公务员医疗补助缴费基数增高，因此公务员医疗补助缴费支出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6CB5B7D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3.自然资源海洋气象等支出（类）自然资源事务（款）其他自然资源事务支出（项）:支出决算数为26.05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8.09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23.70%，主要原因是：</w:t>
      </w:r>
      <w:r>
        <w:rPr>
          <w:rFonts w:hint="eastAsia" w:ascii="仿宋_GB2312" w:eastAsia="仿宋_GB2312"/>
          <w:sz w:val="32"/>
          <w:szCs w:val="32"/>
        </w:rPr>
        <w:t>本年度项目经费减少，无结转结余项目经费资金，对应项目支出减少</w:t>
      </w:r>
      <w:r>
        <w:rPr>
          <w:rFonts w:hint="eastAsia" w:eastAsia="仿宋_GB2312" w:cs="Times New Roman"/>
          <w:color w:val="auto"/>
          <w:kern w:val="2"/>
          <w:sz w:val="32"/>
          <w:szCs w:val="32"/>
          <w:highlight w:val="none"/>
          <w:lang w:val="zh-CN" w:eastAsia="zh-CN" w:bidi="ar-SA"/>
        </w:rPr>
        <w:t>。</w:t>
      </w:r>
    </w:p>
    <w:p w14:paraId="20C164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4.自然资源海洋气象等支出（类）自然资源事务（款）行政运行（项）:支出决算数为86.95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8.63%，主要原因是：</w:t>
      </w:r>
      <w:r>
        <w:rPr>
          <w:rFonts w:hint="eastAsia" w:ascii="仿宋_GB2312" w:eastAsia="仿宋_GB2312"/>
          <w:sz w:val="32"/>
          <w:szCs w:val="32"/>
        </w:rPr>
        <w:t>单位人员职务职级调整、基础工资调增，人员类支出增多，因此行政运行支出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42F5951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5.住房保障支出（类）住房改革支出（款）住房公积金（项）:支出决算数为7.56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11.54%，主要原因是：</w:t>
      </w:r>
      <w:r>
        <w:rPr>
          <w:rFonts w:hint="eastAsia" w:ascii="仿宋_GB2312" w:eastAsia="仿宋_GB2312"/>
          <w:sz w:val="32"/>
          <w:szCs w:val="32"/>
        </w:rPr>
        <w:t>单位人员职务职级调整、基础工资调增等原因，单位人员住房公积金缴费基数增高，因此住房公积金缴费支出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37D2D6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6.社会保障和就业支出（类）行政事业单位养老支出（款）行政单位离退休（项）:支出决算数为17.80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54.52%，主要原因是：</w:t>
      </w:r>
      <w:r>
        <w:rPr>
          <w:rFonts w:hint="eastAsia" w:ascii="仿宋_GB2312" w:eastAsia="仿宋_GB2312"/>
          <w:sz w:val="32"/>
          <w:szCs w:val="32"/>
        </w:rPr>
        <w:t>退休人员</w:t>
      </w:r>
      <w:r>
        <w:rPr>
          <w:rFonts w:hint="eastAsia" w:ascii="仿宋_GB2312" w:eastAsia="仿宋_GB2312"/>
          <w:sz w:val="32"/>
          <w:szCs w:val="32"/>
          <w:lang w:eastAsia="zh-CN"/>
        </w:rPr>
        <w:t>绩效工资增加</w:t>
      </w:r>
      <w:r>
        <w:rPr>
          <w:rFonts w:hint="eastAsia" w:ascii="仿宋_GB2312" w:eastAsia="仿宋_GB2312"/>
          <w:sz w:val="32"/>
          <w:szCs w:val="32"/>
        </w:rPr>
        <w:t>，导致本年行政单位离退休项支出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3D344A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12.40%，主要原因是：</w:t>
      </w:r>
      <w:r>
        <w:rPr>
          <w:rFonts w:hint="eastAsia" w:ascii="仿宋_GB2312" w:eastAsia="仿宋_GB2312"/>
          <w:sz w:val="32"/>
          <w:szCs w:val="32"/>
        </w:rPr>
        <w:t>单位人员职务职级调整、基础工资调增等原因，机关事业单位养老保险缴费基数增高，机关事业单位养老保险缴费支出</w:t>
      </w:r>
      <w:r>
        <w:rPr>
          <w:rFonts w:hint="eastAsia" w:ascii="仿宋_GB2312" w:eastAsia="仿宋_GB2312"/>
          <w:sz w:val="32"/>
          <w:szCs w:val="32"/>
          <w:lang w:eastAsia="zh-CN"/>
        </w:rPr>
        <w:t>增加</w:t>
      </w:r>
      <w:r>
        <w:rPr>
          <w:rFonts w:hint="eastAsia" w:eastAsia="仿宋_GB2312" w:cs="Times New Roman"/>
          <w:color w:val="auto"/>
          <w:kern w:val="2"/>
          <w:sz w:val="32"/>
          <w:szCs w:val="32"/>
          <w:highlight w:val="none"/>
          <w:lang w:val="zh-CN" w:eastAsia="zh-CN" w:bidi="ar-SA"/>
        </w:rPr>
        <w:t>。</w:t>
      </w:r>
    </w:p>
    <w:p w14:paraId="308384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67E2BF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131.14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123.74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住房公积金、其他工资福利支出、退休费、生活补助、医疗费补助、奖励金、其他对个人和家庭的补助。</w:t>
      </w:r>
    </w:p>
    <w:p w14:paraId="13615A5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7.40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r>
        <w:rPr>
          <w:rFonts w:hint="eastAsia" w:ascii="仿宋_GB2312" w:eastAsia="仿宋_GB2312"/>
          <w:color w:val="auto"/>
          <w:sz w:val="32"/>
          <w:szCs w:val="32"/>
          <w:highlight w:val="none"/>
          <w:lang w:eastAsia="zh-CN"/>
        </w:rPr>
        <w:t>。</w:t>
      </w:r>
    </w:p>
    <w:p w14:paraId="2F10800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8CF4ED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58C50A8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ADF01D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289850C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固定资产车辆为1辆执法执勤用车、1辆其他用车，均</w:t>
      </w:r>
      <w:r>
        <w:rPr>
          <w:rFonts w:hint="eastAsia" w:ascii="仿宋_GB2312" w:eastAsia="仿宋_GB2312"/>
          <w:color w:val="auto"/>
          <w:sz w:val="32"/>
          <w:szCs w:val="32"/>
          <w:highlight w:val="none"/>
          <w:lang w:val="zh-CN" w:eastAsia="zh-CN"/>
        </w:rPr>
        <w:t>不属于公务用车，使用其他交通费，支付燃油及维修费。</w:t>
      </w:r>
    </w:p>
    <w:p w14:paraId="7356F61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0DDC27A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0F8999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19D51E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7459A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7A827A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267E0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2874EA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E605197">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墨玉县国土资源执法监察大队（行政单位和参照公务员法管理事业单位）机关运行经费支出7.40万元，比上年增加1.40万元，增长23.35%,主要原因是：</w:t>
      </w:r>
      <w:r>
        <w:rPr>
          <w:rFonts w:hint="eastAsia" w:ascii="仿宋_GB2312" w:eastAsia="仿宋_GB2312"/>
          <w:sz w:val="32"/>
          <w:szCs w:val="32"/>
        </w:rPr>
        <w:t>日常办公以及国土资源执法监察工作力度增加</w:t>
      </w:r>
      <w:r>
        <w:rPr>
          <w:rFonts w:hint="eastAsia" w:ascii="Times New Roman" w:hAnsi="Times New Roman" w:eastAsia="仿宋_GB2312" w:cs="Times New Roman"/>
          <w:color w:val="auto"/>
          <w:sz w:val="32"/>
          <w:szCs w:val="32"/>
          <w:highlight w:val="none"/>
          <w:lang w:val="en-US" w:eastAsia="zh-CN"/>
        </w:rPr>
        <w:t>。</w:t>
      </w:r>
    </w:p>
    <w:p w14:paraId="6E134C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7D8FF9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6242E2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069B9D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142981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95.03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屋96.79平方米，价值33.51万元。车辆2辆，价值35.28万元，其中：副部（省）级及以上领导用车0辆、主要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单位日常用车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273893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3E42651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 xml:space="preserve">。 </w:t>
      </w:r>
    </w:p>
    <w:p w14:paraId="212C149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921B1A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5D0302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7DBA9F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8909DD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A6E8CF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EADD2F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EB25B4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5D0C2D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5ACC53F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E7ABF6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B6983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C37D8E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735CAC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33A8CA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D6F60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A15A93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25CE85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F3879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1EFC42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00A149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6AC4C9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36AD94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1C262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91C07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5DE56D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AE344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EB823D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5B4974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631A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1B4A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21B4A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MjQ3OGU2MjBlNjM3N2RmNjBiMTAyZGM5MWY4OWM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AB33F5"/>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7F063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DF026E"/>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1C1BA0"/>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01197"/>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AD2509"/>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7C4236"/>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3B62A7"/>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1C282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5207</Words>
  <Characters>5787</Characters>
  <Lines>0</Lines>
  <Paragraphs>0</Paragraphs>
  <TotalTime>0</TotalTime>
  <ScaleCrop>false</ScaleCrop>
  <LinksUpToDate>false</LinksUpToDate>
  <CharactersWithSpaces>5806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悦己</cp:lastModifiedBy>
  <dcterms:modified xsi:type="dcterms:W3CDTF">2024-09-12T10:20:21Z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