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伊吾县国土资源执法监察大队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伊吾县国土资源执法监察大队，为自治区自然资源厅下属四级预算单位，参照公务员法管理的事业单位。实行垂直管理，统一履行自治区国土资源执法监察职能。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1、宣传和贯彻执行国家、自治区有关土地、矿产资源的法律、法规、规章和政策。</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2、组织和实施对伊吾县区域执行土地、矿产资源法律、法规、规章情况的巡查，及时发现和制止土地、矿产资源违法行为。</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3.依法组织和实施对伊吾县区域区域重大土地、矿产资源违法案件的调查、取证、现场勘验工作，并提交哈密市、自治区土地、矿产资源重大违法案件调查报告和查处意见。</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4.负责伊吾县区域重大土地、矿产资源违法案件查处决定的督办。</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伊吾县国土资源执法监察大队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6" w:name="_Toc3092"/>
      <w:bookmarkStart w:id="7" w:name="_Toc29374"/>
      <w:r>
        <w:rPr>
          <w:rFonts w:hint="eastAsia" w:ascii="仿宋_GB2312" w:eastAsia="仿宋_GB2312"/>
          <w:color w:val="auto"/>
          <w:sz w:val="32"/>
          <w:szCs w:val="32"/>
          <w:highlight w:val="none"/>
          <w:lang w:val="en-US" w:eastAsia="zh-CN"/>
        </w:rPr>
        <w:t>单位无下属预算单位，下设1个处室，分别是：综合办公室。</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126.87万元，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125.87万元，使用非财政拨款结余0.00万元，年初结转和结余1.00万元。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126.87万元，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117.70万元，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0.00万元，年末结转和结余9.17万元。</w:t>
      </w:r>
    </w:p>
    <w:p>
      <w:p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增加20.02万元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增长18.73%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125.87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125.86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本年支出117.70万元，其中：基本支出103.87万元，占88.25%；项目支出13.83万元，占11.75%；上缴上级支出0.00万元，占0.00%；经营支出0.00万元，占0.00%；对附属单位补助支出0.00万元，占0.00%。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126.87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125.86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126.87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9.17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117.69</w:t>
      </w:r>
      <w:r>
        <w:rPr>
          <w:rFonts w:hint="eastAsia" w:ascii="仿宋_GB2312" w:eastAsia="仿宋_GB2312"/>
          <w:color w:val="auto"/>
          <w:spacing w:val="0"/>
          <w:sz w:val="32"/>
          <w:szCs w:val="32"/>
          <w:highlight w:val="none"/>
          <w:lang w:eastAsia="zh-CN"/>
        </w:rPr>
        <w:t>万元。</w:t>
      </w:r>
    </w:p>
    <w:p>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增加20.03万元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增长18.75%，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106.61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126.87</w:t>
      </w:r>
      <w:r>
        <w:rPr>
          <w:rFonts w:hint="eastAsia" w:ascii="仿宋_GB2312" w:eastAsia="仿宋_GB2312"/>
          <w:color w:val="auto"/>
          <w:spacing w:val="0"/>
          <w:sz w:val="32"/>
          <w:szCs w:val="32"/>
          <w:highlight w:val="none"/>
          <w:lang w:eastAsia="zh-CN"/>
        </w:rPr>
        <w:t>万元，预决算差异率19.00%，主要原因是：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ind w:firstLine="640" w:firstLineChars="200"/>
        <w:rPr>
          <w:rFonts w:ascii="仿宋_GB2312" w:eastAsia="仿宋_GB2312"/>
          <w:sz w:val="32"/>
          <w:szCs w:val="32"/>
        </w:rPr>
      </w:pPr>
      <w:r>
        <w:rPr>
          <w:rFonts w:hint="eastAsia" w:ascii="仿宋_GB2312" w:eastAsia="仿宋_GB2312"/>
          <w:color w:val="auto"/>
          <w:spacing w:val="0"/>
          <w:sz w:val="32"/>
          <w:szCs w:val="32"/>
          <w:highlight w:val="none"/>
          <w:lang w:eastAsia="zh-CN"/>
        </w:rPr>
        <w:t>2023年度一般公共预算财政拨款支出117.69万元，占本年支出合计的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增加11.86万元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增长11.21%，</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106.61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117.69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10.39%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19.04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16.18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7.85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6.67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84.57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71.86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6.24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5.30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11.78%，主要原因是：</w:t>
      </w:r>
      <w:r>
        <w:rPr>
          <w:rFonts w:hint="eastAsia" w:ascii="仿宋_GB2312" w:eastAsia="仿宋_GB2312"/>
          <w:sz w:val="32"/>
          <w:szCs w:val="32"/>
        </w:rPr>
        <w:t>人员工资增长，</w:t>
      </w:r>
      <w:r>
        <w:rPr>
          <w:rFonts w:hint="eastAsia" w:ascii="仿宋_GB2312" w:eastAsia="仿宋_GB2312"/>
          <w:sz w:val="32"/>
          <w:szCs w:val="32"/>
          <w:lang w:val="en-US" w:eastAsia="zh-CN"/>
        </w:rPr>
        <w:t>医</w:t>
      </w:r>
      <w:r>
        <w:rPr>
          <w:rFonts w:hint="eastAsia" w:ascii="仿宋_GB2312" w:eastAsia="仿宋_GB2312"/>
          <w:sz w:val="32"/>
          <w:szCs w:val="32"/>
        </w:rPr>
        <w:t>保基数增长调整。</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24.40%，主要原因是：</w:t>
      </w:r>
      <w:r>
        <w:rPr>
          <w:rFonts w:hint="eastAsia" w:ascii="仿宋_GB2312" w:eastAsia="仿宋_GB2312"/>
          <w:sz w:val="32"/>
          <w:szCs w:val="32"/>
        </w:rPr>
        <w:t>人员工资增长，</w:t>
      </w:r>
      <w:r>
        <w:rPr>
          <w:rFonts w:hint="eastAsia" w:ascii="仿宋_GB2312" w:eastAsia="仿宋_GB2312"/>
          <w:sz w:val="32"/>
          <w:szCs w:val="32"/>
          <w:lang w:val="en-US" w:eastAsia="zh-CN"/>
        </w:rPr>
        <w:t>医</w:t>
      </w:r>
      <w:r>
        <w:rPr>
          <w:rFonts w:hint="eastAsia" w:ascii="仿宋_GB2312" w:eastAsia="仿宋_GB2312"/>
          <w:sz w:val="32"/>
          <w:szCs w:val="32"/>
        </w:rPr>
        <w:t>保基数增长调整。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FF0000"/>
          <w:kern w:val="2"/>
          <w:sz w:val="32"/>
          <w:szCs w:val="32"/>
          <w:highlight w:val="none"/>
          <w:lang w:val="en-US" w:eastAsia="zh-CN" w:bidi="ar-SA"/>
        </w:rPr>
      </w:pP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3.自然资源海洋气象等支出（类）自然资源事务（款）其他自然资源事务支出（项）:支出决算数为13.83</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万元</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，比上年决算</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减少</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5.17</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万元</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下降</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27.20%，主要原因是：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执法业务工作减少，执法经费</w:t>
      </w:r>
      <w:bookmarkStart w:id="48" w:name="_GoBack"/>
      <w:bookmarkEnd w:id="48"/>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减少。</w:t>
      </w:r>
    </w:p>
    <w:p>
      <w:pPr>
        <w:ind w:firstLine="640" w:firstLineChars="200"/>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4.自然资源海洋气象等支出（类）自然资源事务（款）行政运行（项）:支出决算数为70.74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8.80%，主要原因是：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5.住房保障支出（类）住房改革支出（款）住房公积金（项）:支出决算数为6.24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20.31%，主要原因是：</w:t>
      </w:r>
      <w:r>
        <w:rPr>
          <w:rFonts w:hint="eastAsia" w:ascii="仿宋_GB2312" w:eastAsia="仿宋_GB2312"/>
          <w:sz w:val="32"/>
          <w:szCs w:val="32"/>
        </w:rPr>
        <w:t>人员工资增长，</w:t>
      </w:r>
      <w:r>
        <w:rPr>
          <w:rFonts w:hint="eastAsia" w:ascii="仿宋_GB2312" w:eastAsia="仿宋_GB2312"/>
          <w:sz w:val="32"/>
          <w:szCs w:val="32"/>
          <w:lang w:val="en-US" w:eastAsia="zh-CN"/>
        </w:rPr>
        <w:t>住房公积金</w:t>
      </w:r>
      <w:r>
        <w:rPr>
          <w:rFonts w:hint="eastAsia" w:ascii="仿宋_GB2312" w:eastAsia="仿宋_GB2312"/>
          <w:sz w:val="32"/>
          <w:szCs w:val="32"/>
        </w:rPr>
        <w:t>基数</w:t>
      </w:r>
      <w:r>
        <w:rPr>
          <w:rFonts w:hint="eastAsia" w:ascii="仿宋_GB2312" w:eastAsia="仿宋_GB2312"/>
          <w:sz w:val="32"/>
          <w:szCs w:val="32"/>
          <w:lang w:val="en-US" w:eastAsia="zh-CN"/>
        </w:rPr>
        <w:t>增长调整</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FF0000"/>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6.社会保障和就业支出（类）行政事业单位养老支出（款）行政单位离退休（项）:支出决算数为1.99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33.99%，主要原因是：</w:t>
      </w:r>
      <w:r>
        <w:rPr>
          <w:rFonts w:hint="eastAsia" w:ascii="仿宋_GB2312" w:eastAsia="仿宋_GB2312"/>
          <w:sz w:val="32"/>
          <w:szCs w:val="32"/>
          <w:lang w:val="en-US" w:eastAsia="zh-CN"/>
        </w:rPr>
        <w:t>退休人员的医疗费财政收回，故行政单位离退休减少</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7.社会保障和就业支出（类）行政事业单位养老支出（款）机关事业单位职业年金缴费支出（项）:支出决算数为8.72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在职人员退休，</w:t>
      </w:r>
      <w:r>
        <w:rPr>
          <w:rFonts w:hint="eastAsia" w:eastAsia="仿宋_GB2312" w:cs="Times New Roman"/>
          <w:color w:val="auto"/>
          <w:kern w:val="2"/>
          <w:sz w:val="32"/>
          <w:szCs w:val="32"/>
          <w:highlight w:val="none"/>
          <w:lang w:val="en-US" w:eastAsia="zh-CN" w:bidi="ar-SA"/>
        </w:rPr>
        <w:t>职业年金支出增加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8.社会保障和就业支出（类）行政事业单位养老支出（款）机关事业单位基本养老保险缴费支出（项）:支出决算数为8.32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20.31%，主要原因是：</w:t>
      </w:r>
      <w:r>
        <w:rPr>
          <w:rFonts w:hint="eastAsia" w:eastAsia="仿宋_GB2312" w:cs="Times New Roman"/>
          <w:color w:val="auto"/>
          <w:kern w:val="2"/>
          <w:sz w:val="32"/>
          <w:szCs w:val="32"/>
          <w:highlight w:val="none"/>
          <w:lang w:val="en-US" w:eastAsia="zh-CN" w:bidi="ar-SA"/>
        </w:rPr>
        <w:t>人员工资增长，社保基数增长调整</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103.86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98.93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其他工资福利支出、退休费、医疗费补助、奖励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4.93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办公费、手续费、邮电费、取暖费、物业管理费、差旅费、维修（护）费、工会经费、福利费、其他交通费用、其他商品和服务支出。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ind w:firstLine="640" w:firstLineChars="200"/>
        <w:rPr>
          <w:rFonts w:ascii="仿宋_GB2312" w:eastAsia="仿宋_GB2312"/>
          <w:sz w:val="32"/>
          <w:szCs w:val="32"/>
        </w:rPr>
      </w:pPr>
      <w:bookmarkStart w:id="18" w:name="_Toc5810"/>
      <w:bookmarkStart w:id="19" w:name="_Toc7927"/>
      <w:bookmarkStart w:id="20" w:name="_Toc7314"/>
      <w:bookmarkStart w:id="21" w:name="_Toc1235"/>
      <w:r>
        <w:rPr>
          <w:rFonts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年度财政拨款“三公”经费支出决算</w:t>
      </w:r>
      <w:r>
        <w:rPr>
          <w:rFonts w:ascii="仿宋_GB2312" w:eastAsia="仿宋_GB2312"/>
          <w:sz w:val="32"/>
          <w:szCs w:val="32"/>
        </w:rPr>
        <w:t>0.00</w:t>
      </w:r>
      <w:r>
        <w:rPr>
          <w:rFonts w:hint="eastAsia" w:ascii="仿宋_GB2312" w:eastAsia="仿宋_GB2312"/>
          <w:sz w:val="32"/>
          <w:szCs w:val="32"/>
        </w:rPr>
        <w:t>万元，比上年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我单位无财政拨款“三公”经费支出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我单位无公务用车购置及运行维护费</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hint="default" w:ascii="仿宋_GB2312" w:eastAsia="仿宋_GB2312"/>
          <w:sz w:val="32"/>
          <w:szCs w:val="32"/>
          <w:lang w:val="en-US"/>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r>
        <w:rPr>
          <w:rFonts w:hint="eastAsia" w:ascii="仿宋_GB2312" w:eastAsia="仿宋_GB2312"/>
          <w:sz w:val="32"/>
          <w:szCs w:val="32"/>
          <w:highlight w:val="none"/>
        </w:rPr>
        <w:t>国有资产占用情况</w:t>
      </w:r>
      <w:r>
        <w:rPr>
          <w:rFonts w:hint="eastAsia" w:ascii="仿宋_GB2312" w:eastAsia="仿宋_GB2312"/>
          <w:sz w:val="32"/>
          <w:szCs w:val="32"/>
          <w:highlight w:val="none"/>
          <w:lang w:val="en-US" w:eastAsia="zh-CN"/>
        </w:rPr>
        <w:t>中固定资产车辆1</w:t>
      </w:r>
      <w:r>
        <w:rPr>
          <w:rFonts w:hint="eastAsia" w:ascii="仿宋_GB2312" w:eastAsia="仿宋_GB2312"/>
          <w:sz w:val="32"/>
          <w:szCs w:val="32"/>
          <w:highlight w:val="none"/>
        </w:rPr>
        <w:t>辆</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与</w:t>
      </w:r>
      <w:r>
        <w:rPr>
          <w:rFonts w:hint="eastAsia" w:ascii="仿宋_GB2312" w:eastAsia="仿宋_GB2312"/>
          <w:sz w:val="32"/>
          <w:szCs w:val="32"/>
          <w:highlight w:val="none"/>
        </w:rPr>
        <w:t>公务用车</w:t>
      </w:r>
      <w:r>
        <w:rPr>
          <w:rFonts w:hint="eastAsia" w:ascii="仿宋_GB2312" w:eastAsia="仿宋_GB2312"/>
          <w:sz w:val="32"/>
          <w:szCs w:val="32"/>
          <w:highlight w:val="none"/>
          <w:lang w:val="en-US" w:eastAsia="zh-CN"/>
        </w:rPr>
        <w:t>保有量差异</w:t>
      </w:r>
      <w:r>
        <w:rPr>
          <w:rFonts w:hint="eastAsia" w:ascii="仿宋_GB2312" w:eastAsia="仿宋_GB2312"/>
          <w:sz w:val="32"/>
          <w:szCs w:val="32"/>
          <w:highlight w:val="none"/>
          <w:lang w:eastAsia="zh-CN"/>
        </w:rPr>
        <w:t>原因是</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固定资产车辆为执法执勤车辆</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zh-CN" w:eastAsia="zh-CN"/>
        </w:rPr>
        <w:t>不属于公务用车，使用其他交通费，支付燃油及维修费</w:t>
      </w:r>
      <w:r>
        <w:rPr>
          <w:rFonts w:hint="eastAsia" w:ascii="仿宋_GB2312" w:eastAsia="仿宋_GB2312"/>
          <w:sz w:val="32"/>
          <w:szCs w:val="32"/>
          <w:highlight w:val="none"/>
          <w:lang w:val="en-US" w:eastAsia="zh-CN"/>
        </w:rPr>
        <w:t>。</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万元，预决算差异率0.00%，主要原因是：我单位无财政拨款“三公”经费支出。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bookmarkEnd w:id="18"/>
    <w:bookmarkEnd w:id="19"/>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rPr>
          <w:rFonts w:ascii="Arial" w:hAnsi="Arial" w:cs="Arial"/>
          <w:color w:val="4D4D4D"/>
          <w:shd w:val="clear" w:color="auto" w:fill="FFFFFF"/>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default"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伊吾县国土资源执法监察大队（行政单位和参照公务员法管理事业单位）机关运行经费支出4.93万元，比上年减少0.04万元，下降0.72%，主要原因是：</w:t>
      </w:r>
      <w:r>
        <w:rPr>
          <w:rFonts w:hint="eastAsia" w:eastAsia="仿宋_GB2312" w:cs="Times New Roman"/>
          <w:color w:val="auto"/>
          <w:sz w:val="32"/>
          <w:szCs w:val="32"/>
          <w:highlight w:val="none"/>
          <w:lang w:val="en-US" w:eastAsia="zh-CN"/>
        </w:rPr>
        <w:t>厉行节约，</w:t>
      </w:r>
      <w:r>
        <w:rPr>
          <w:rFonts w:hint="eastAsia" w:ascii="Times New Roman" w:hAnsi="Times New Roman" w:eastAsia="仿宋_GB2312" w:cs="Times New Roman"/>
          <w:color w:val="auto"/>
          <w:sz w:val="32"/>
          <w:szCs w:val="32"/>
          <w:highlight w:val="none"/>
          <w:lang w:val="en-US" w:eastAsia="zh-CN"/>
        </w:rPr>
        <w:t>机关运行经费</w:t>
      </w:r>
      <w:r>
        <w:rPr>
          <w:rFonts w:hint="eastAsia" w:eastAsia="仿宋_GB2312" w:cs="Times New Roman"/>
          <w:color w:val="auto"/>
          <w:sz w:val="32"/>
          <w:szCs w:val="32"/>
          <w:highlight w:val="none"/>
          <w:lang w:val="en-US" w:eastAsia="zh-CN"/>
        </w:rPr>
        <w:t>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54.24</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屋91.89平方米，价值20.61万元。车辆1辆，价值15.98万元，其中：副部（省）级及以上领导用车0辆、主要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sz w:val="32"/>
          <w:szCs w:val="32"/>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20663E"/>
    <w:rsid w:val="0C3613A3"/>
    <w:rsid w:val="0C5E519C"/>
    <w:rsid w:val="0C7227A7"/>
    <w:rsid w:val="0CA52EE8"/>
    <w:rsid w:val="0CBD6988"/>
    <w:rsid w:val="0CD208AC"/>
    <w:rsid w:val="0D4903E8"/>
    <w:rsid w:val="0D7A4A46"/>
    <w:rsid w:val="0E640559"/>
    <w:rsid w:val="0F1113DA"/>
    <w:rsid w:val="0F78534A"/>
    <w:rsid w:val="0F89358A"/>
    <w:rsid w:val="0F8C6D51"/>
    <w:rsid w:val="0FAD3ED0"/>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1C253D"/>
    <w:rsid w:val="1E62130A"/>
    <w:rsid w:val="1E97358B"/>
    <w:rsid w:val="1EAA4A5F"/>
    <w:rsid w:val="1EE869A7"/>
    <w:rsid w:val="1FA15E62"/>
    <w:rsid w:val="1FED69B6"/>
    <w:rsid w:val="2064678E"/>
    <w:rsid w:val="20AC0348"/>
    <w:rsid w:val="20DC1AB9"/>
    <w:rsid w:val="20DD6197"/>
    <w:rsid w:val="212631E0"/>
    <w:rsid w:val="21A53757"/>
    <w:rsid w:val="221236C6"/>
    <w:rsid w:val="22D7662C"/>
    <w:rsid w:val="23326B7F"/>
    <w:rsid w:val="23340762"/>
    <w:rsid w:val="2380045B"/>
    <w:rsid w:val="23BC04D2"/>
    <w:rsid w:val="23EF1892"/>
    <w:rsid w:val="2483647E"/>
    <w:rsid w:val="24A32D55"/>
    <w:rsid w:val="25292727"/>
    <w:rsid w:val="252C7D9C"/>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986928"/>
    <w:rsid w:val="2DB87198"/>
    <w:rsid w:val="2DB93C54"/>
    <w:rsid w:val="2E1937C9"/>
    <w:rsid w:val="2E3D144C"/>
    <w:rsid w:val="2E891204"/>
    <w:rsid w:val="2F3F0A28"/>
    <w:rsid w:val="2FBF7029"/>
    <w:rsid w:val="2FD0187F"/>
    <w:rsid w:val="2FD27414"/>
    <w:rsid w:val="2FFE4BB0"/>
    <w:rsid w:val="300E7B60"/>
    <w:rsid w:val="300F6E18"/>
    <w:rsid w:val="30862F5F"/>
    <w:rsid w:val="314029C9"/>
    <w:rsid w:val="318F02D1"/>
    <w:rsid w:val="31C63837"/>
    <w:rsid w:val="31C82E39"/>
    <w:rsid w:val="32601BAD"/>
    <w:rsid w:val="329F6389"/>
    <w:rsid w:val="335C4122"/>
    <w:rsid w:val="3389023A"/>
    <w:rsid w:val="33CB74FA"/>
    <w:rsid w:val="33D657E9"/>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D02864"/>
    <w:rsid w:val="41431AD5"/>
    <w:rsid w:val="414B3C0F"/>
    <w:rsid w:val="417C1CE7"/>
    <w:rsid w:val="41900018"/>
    <w:rsid w:val="41944406"/>
    <w:rsid w:val="41CE128F"/>
    <w:rsid w:val="41DA6F12"/>
    <w:rsid w:val="42171FB1"/>
    <w:rsid w:val="434E6957"/>
    <w:rsid w:val="43BA0E31"/>
    <w:rsid w:val="43C15147"/>
    <w:rsid w:val="43E14DD2"/>
    <w:rsid w:val="43F800E9"/>
    <w:rsid w:val="443A7E4B"/>
    <w:rsid w:val="44B307C2"/>
    <w:rsid w:val="452F5B3A"/>
    <w:rsid w:val="454E7FD2"/>
    <w:rsid w:val="46061BDC"/>
    <w:rsid w:val="461404F8"/>
    <w:rsid w:val="46413018"/>
    <w:rsid w:val="464B7E04"/>
    <w:rsid w:val="46513230"/>
    <w:rsid w:val="468041AA"/>
    <w:rsid w:val="468123C6"/>
    <w:rsid w:val="46901EEE"/>
    <w:rsid w:val="469C74D2"/>
    <w:rsid w:val="47445515"/>
    <w:rsid w:val="474B4782"/>
    <w:rsid w:val="47D90D14"/>
    <w:rsid w:val="48387FB0"/>
    <w:rsid w:val="483A6114"/>
    <w:rsid w:val="488727DB"/>
    <w:rsid w:val="48B82268"/>
    <w:rsid w:val="48C354B3"/>
    <w:rsid w:val="493D58B5"/>
    <w:rsid w:val="494A7A04"/>
    <w:rsid w:val="495311F7"/>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7734C1"/>
    <w:rsid w:val="52F647F7"/>
    <w:rsid w:val="52F92565"/>
    <w:rsid w:val="53D03877"/>
    <w:rsid w:val="542F73CA"/>
    <w:rsid w:val="5430786D"/>
    <w:rsid w:val="54A279B4"/>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B33343"/>
    <w:rsid w:val="69D005C0"/>
    <w:rsid w:val="69D80B96"/>
    <w:rsid w:val="6B68175F"/>
    <w:rsid w:val="6BFD799F"/>
    <w:rsid w:val="6C4A2E5A"/>
    <w:rsid w:val="6C8138D0"/>
    <w:rsid w:val="6CEF0725"/>
    <w:rsid w:val="6D4B2604"/>
    <w:rsid w:val="6D8030E4"/>
    <w:rsid w:val="6DA4037A"/>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5209</Words>
  <Characters>5805</Characters>
  <Lines>0</Lines>
  <Paragraphs>0</Paragraphs>
  <TotalTime>0</TotalTime>
  <ScaleCrop>false</ScaleCrop>
  <LinksUpToDate>false</LinksUpToDate>
  <CharactersWithSpaces>5828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2024-09-07T16:36:14Z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