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B740F">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3EF04F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6B388A1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哈密市伊州区国土资源执法监察大队</w:t>
      </w:r>
    </w:p>
    <w:p w14:paraId="3395A76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06464D0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2F91680E">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1F37029C">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4465064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4B30CF1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362457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CC1593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4795DF0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82F07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6C56E30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A022C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694A05E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7FDF317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7474B6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6E39D94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E9EF861">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BAE91F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4EFA7D98">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BDFF1C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78685A69">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F737B2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7D3262D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ECD17CD">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78AB7302">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6EDCF1D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2B8D31C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4F3F008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F2327D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FD2EC3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011B70F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5A93D4B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3BD77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461B0AF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0C8CB9A6">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7C1A73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01523EA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0FF5D8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77FA4234">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哈密市伊州区国土资源执法监察大队，为自治区自然资源厅下属四级预算单位，参照公务员法管理的事业单位。实行垂直管理，统一履行自治区国土资源执法监察职能。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2、组织和实施对伊州区执行土地、矿产资源法律、法规、规章情况的巡查，及时发现和制止土地、矿产资源违法行为。</w:t>
      </w:r>
      <w:r>
        <w:rPr>
          <w:rFonts w:ascii="仿宋_GB2312" w:eastAsia="仿宋_GB2312"/>
          <w:sz w:val="32"/>
          <w:szCs w:val="32"/>
        </w:rPr>
        <w:br w:type="textWrapping"/>
      </w:r>
      <w:r>
        <w:rPr>
          <w:rFonts w:ascii="仿宋_GB2312" w:eastAsia="仿宋_GB2312"/>
          <w:sz w:val="32"/>
          <w:szCs w:val="32"/>
        </w:rPr>
        <w:t>　　3.依法组织和实施对伊州区区域重大土地、矿产资源违法案件的调查、取证、现场勘验工作，并提交哈密市、自治区土地、矿产资源重大违法案件调查报告和查处意见。</w:t>
      </w:r>
      <w:r>
        <w:rPr>
          <w:rFonts w:ascii="仿宋_GB2312" w:eastAsia="仿宋_GB2312"/>
          <w:sz w:val="32"/>
          <w:szCs w:val="32"/>
        </w:rPr>
        <w:br w:type="textWrapping"/>
      </w:r>
      <w:r>
        <w:rPr>
          <w:rFonts w:ascii="仿宋_GB2312" w:eastAsia="仿宋_GB2312"/>
          <w:sz w:val="32"/>
          <w:szCs w:val="32"/>
        </w:rPr>
        <w:t>　　4.负责伊州区区域重大土地、矿产资源违法案件查处决定的督办</w:t>
      </w:r>
      <w:r>
        <w:rPr>
          <w:rFonts w:hint="eastAsia" w:ascii="仿宋_GB2312" w:eastAsia="仿宋_GB2312"/>
          <w:sz w:val="32"/>
          <w:szCs w:val="32"/>
        </w:rPr>
        <w:t>。</w:t>
      </w:r>
    </w:p>
    <w:p w14:paraId="4D6DC12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721BEF3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哈密市伊州区国土资源执法监察大队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14:paraId="7D212FC0">
      <w:pPr>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个处室，分别是：综合办公</w:t>
      </w:r>
      <w:r>
        <w:rPr>
          <w:rFonts w:hint="eastAsia" w:ascii="仿宋_GB2312" w:hAnsi="黑体" w:eastAsia="仿宋_GB2312" w:cs="宋体"/>
          <w:bCs/>
          <w:kern w:val="0"/>
          <w:sz w:val="32"/>
          <w:szCs w:val="32"/>
          <w:lang w:eastAsia="zh-CN"/>
        </w:rPr>
        <w:t>室</w:t>
      </w:r>
      <w:r>
        <w:rPr>
          <w:rFonts w:hint="eastAsia" w:ascii="仿宋_GB2312" w:hAnsi="宋体" w:eastAsia="仿宋_GB2312" w:cs="宋体"/>
          <w:kern w:val="0"/>
          <w:sz w:val="32"/>
          <w:szCs w:val="32"/>
        </w:rPr>
        <w:t>。</w:t>
      </w:r>
    </w:p>
    <w:p w14:paraId="03EF8DB3">
      <w:pPr>
        <w:ind w:firstLine="640" w:firstLineChars="200"/>
        <w:rPr>
          <w:rFonts w:hint="eastAsia" w:ascii="仿宋_GB2312" w:hAnsi="宋体" w:eastAsia="仿宋_GB2312" w:cs="宋体"/>
          <w:kern w:val="0"/>
          <w:sz w:val="32"/>
          <w:szCs w:val="32"/>
        </w:rPr>
      </w:pPr>
    </w:p>
    <w:p w14:paraId="0BB811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E5931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618442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158.21万元，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158.21万元，使用非财政拨款结余0.00万元，年初结转和结余0.00万元。</w:t>
      </w:r>
    </w:p>
    <w:p w14:paraId="191E2A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158.21万元，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158.21万元，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47A00BC3">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增加22.01万元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增长16.16%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684BE54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3530212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158.21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158.20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1092F7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14:paraId="71E95D8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本年支出158.21万元，其中：基本支出103.21万元，占65.24%；项目支出55.00万元，占34.76%；上缴上级支出0.00万元，占0.00%；经营支出0.00万元，占0.00%；对附属单位补助支出0.00万元，占0.00%。</w:t>
      </w:r>
    </w:p>
    <w:p w14:paraId="1E7E455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51FED9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158.20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158.20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158.20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158.20</w:t>
      </w:r>
      <w:r>
        <w:rPr>
          <w:rFonts w:hint="eastAsia" w:ascii="仿宋_GB2312" w:eastAsia="仿宋_GB2312"/>
          <w:color w:val="auto"/>
          <w:spacing w:val="0"/>
          <w:sz w:val="32"/>
          <w:szCs w:val="32"/>
          <w:highlight w:val="none"/>
          <w:lang w:eastAsia="zh-CN"/>
        </w:rPr>
        <w:t>万元。</w:t>
      </w:r>
    </w:p>
    <w:p w14:paraId="339EFC6C">
      <w:pPr>
        <w:ind w:firstLine="640" w:firstLineChars="200"/>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增加22.01万元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增长16.16%，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148.35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158.20</w:t>
      </w:r>
      <w:r>
        <w:rPr>
          <w:rFonts w:hint="eastAsia" w:ascii="仿宋_GB2312" w:eastAsia="仿宋_GB2312"/>
          <w:color w:val="auto"/>
          <w:spacing w:val="0"/>
          <w:sz w:val="32"/>
          <w:szCs w:val="32"/>
          <w:highlight w:val="none"/>
          <w:lang w:eastAsia="zh-CN"/>
        </w:rPr>
        <w:t>万元，预决算差异率6.64%，主要原因是：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1A30BE1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3FEB60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63717E6">
      <w:pPr>
        <w:ind w:firstLine="640" w:firstLineChars="200"/>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2023年度一般公共预算财政拨款支出158.20万元，占本年支出合计的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增加22.01万元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增长16.16%，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148.35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158.20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6.64%</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74C2585F">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00AA1E8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11.21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7.09</w:t>
      </w:r>
      <w:r>
        <w:rPr>
          <w:rFonts w:hint="default" w:ascii="仿宋_GB2312" w:hAnsi="Times New Roman" w:eastAsia="仿宋_GB2312" w:cs="Times New Roman"/>
          <w:color w:val="auto"/>
          <w:spacing w:val="0"/>
          <w:kern w:val="2"/>
          <w:sz w:val="32"/>
          <w:szCs w:val="32"/>
          <w:highlight w:val="none"/>
          <w:lang w:val="zh-CN" w:eastAsia="zh-CN" w:bidi="ar-SA"/>
        </w:rPr>
        <w:t>%；</w:t>
      </w:r>
    </w:p>
    <w:p w14:paraId="42DC69FB">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8.76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5.54</w:t>
      </w:r>
      <w:r>
        <w:rPr>
          <w:rFonts w:hint="default" w:ascii="仿宋_GB2312" w:hAnsi="Times New Roman" w:eastAsia="仿宋_GB2312" w:cs="Times New Roman"/>
          <w:color w:val="auto"/>
          <w:spacing w:val="0"/>
          <w:kern w:val="2"/>
          <w:sz w:val="32"/>
          <w:szCs w:val="32"/>
          <w:highlight w:val="none"/>
          <w:lang w:val="zh-CN" w:eastAsia="zh-CN" w:bidi="ar-SA"/>
        </w:rPr>
        <w:t>%；</w:t>
      </w:r>
    </w:p>
    <w:p w14:paraId="68A5135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131.23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82.95</w:t>
      </w:r>
      <w:r>
        <w:rPr>
          <w:rFonts w:hint="default" w:ascii="仿宋_GB2312" w:hAnsi="Times New Roman" w:eastAsia="仿宋_GB2312" w:cs="Times New Roman"/>
          <w:color w:val="auto"/>
          <w:spacing w:val="0"/>
          <w:kern w:val="2"/>
          <w:sz w:val="32"/>
          <w:szCs w:val="32"/>
          <w:highlight w:val="none"/>
          <w:lang w:val="zh-CN" w:eastAsia="zh-CN" w:bidi="ar-SA"/>
        </w:rPr>
        <w:t>%；</w:t>
      </w:r>
    </w:p>
    <w:p w14:paraId="09E75649">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6.99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4.42</w:t>
      </w:r>
      <w:r>
        <w:rPr>
          <w:rFonts w:hint="default" w:ascii="仿宋_GB2312" w:hAnsi="Times New Roman" w:eastAsia="仿宋_GB2312" w:cs="Times New Roman"/>
          <w:color w:val="auto"/>
          <w:spacing w:val="0"/>
          <w:kern w:val="2"/>
          <w:sz w:val="32"/>
          <w:szCs w:val="32"/>
          <w:highlight w:val="none"/>
          <w:lang w:val="zh-CN" w:eastAsia="zh-CN" w:bidi="ar-SA"/>
        </w:rPr>
        <w:t>%；</w:t>
      </w:r>
    </w:p>
    <w:p w14:paraId="50596F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05BBBAB">
      <w:pPr>
        <w:ind w:firstLine="640" w:firstLineChars="200"/>
        <w:rPr>
          <w:rFonts w:ascii="仿宋_GB2312" w:eastAsia="仿宋_GB2312"/>
          <w:b/>
          <w:bCs/>
          <w:sz w:val="32"/>
          <w:szCs w:val="32"/>
          <w:highlight w:val="yellow"/>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1.卫生健康支出（类）行政事业单位医疗（款）行政单位医疗（项）:支出决算数为4.68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35.81%，主要原因是：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医</w:t>
      </w:r>
      <w:r>
        <w:rPr>
          <w:rFonts w:hint="eastAsia" w:ascii="仿宋_GB2312" w:eastAsia="仿宋_GB2312"/>
          <w:sz w:val="32"/>
          <w:szCs w:val="32"/>
        </w:rPr>
        <w:t>保基数增长调整。</w:t>
      </w:r>
    </w:p>
    <w:p w14:paraId="4C56C372">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2.卫生健康支出（类）行政事业单位医疗（款）公务员医疗补助（项）:支出决算数为4.08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52.08%，主要原因是：</w:t>
      </w:r>
      <w:r>
        <w:rPr>
          <w:rFonts w:hint="eastAsia" w:ascii="仿宋_GB2312" w:eastAsia="仿宋_GB2312"/>
          <w:sz w:val="32"/>
          <w:szCs w:val="32"/>
        </w:rPr>
        <w:t>人员工资增长，医保基数</w:t>
      </w:r>
      <w:r>
        <w:rPr>
          <w:rFonts w:hint="eastAsia" w:ascii="仿宋_GB2312" w:eastAsia="仿宋_GB2312"/>
          <w:sz w:val="32"/>
          <w:szCs w:val="32"/>
          <w:lang w:val="en-US" w:eastAsia="zh-CN"/>
        </w:rPr>
        <w:t>增长调整</w:t>
      </w:r>
      <w:r>
        <w:rPr>
          <w:rFonts w:hint="eastAsia" w:ascii="仿宋_GB2312" w:eastAsia="仿宋_GB2312"/>
          <w:sz w:val="32"/>
          <w:szCs w:val="32"/>
        </w:rPr>
        <w:t>。</w:t>
      </w:r>
    </w:p>
    <w:p w14:paraId="50035AE5">
      <w:pPr>
        <w:ind w:firstLine="640" w:firstLineChars="200"/>
        <w:outlineLvl w:val="1"/>
        <w:rPr>
          <w:rFonts w:hint="default" w:ascii="黑体" w:hAnsi="黑体" w:eastAsia="仿宋_GB2312" w:cs="宋体"/>
          <w:bCs/>
          <w:kern w:val="0"/>
          <w:sz w:val="32"/>
          <w:szCs w:val="32"/>
          <w:lang w:val="en-US" w:eastAsia="zh-CN"/>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3.自然资源海洋气象等支出（类）自然资源事务（款）其他自然资源事务支出（项）:支出决算数为55.00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22.22%，主要原因是</w:t>
      </w:r>
      <w:r>
        <w:rPr>
          <w:rFonts w:hint="eastAsia" w:eastAsia="仿宋_GB2312" w:cs="Times New Roman"/>
          <w:color w:val="auto"/>
          <w:kern w:val="2"/>
          <w:sz w:val="32"/>
          <w:szCs w:val="32"/>
          <w:highlight w:val="none"/>
          <w:lang w:val="en-US" w:eastAsia="zh-CN" w:bidi="ar-SA"/>
        </w:rPr>
        <w:t>：卫片执法业务增加，执法费用增长。</w:t>
      </w:r>
    </w:p>
    <w:p w14:paraId="36A18356">
      <w:pPr>
        <w:ind w:firstLine="640" w:firstLineChars="200"/>
        <w:rPr>
          <w:rFonts w:hint="eastAsia" w:ascii="仿宋_GB2312" w:eastAsia="仿宋_GB2312"/>
          <w:color w:val="auto"/>
          <w:spacing w:val="0"/>
          <w:sz w:val="32"/>
          <w:szCs w:val="32"/>
          <w:highlight w:val="none"/>
          <w:lang w:val="en-US" w:eastAsia="zh-CN"/>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4.自然资源海洋气象等支出（类）自然资源事务（款）行政运行（项）:支出决算数为76.23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5.15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7.24%，主要原因是：</w:t>
      </w:r>
      <w:r>
        <w:rPr>
          <w:rFonts w:hint="eastAsia" w:ascii="仿宋_GB2312" w:eastAsia="仿宋_GB2312"/>
          <w:sz w:val="32"/>
          <w:szCs w:val="32"/>
        </w:rPr>
        <w:t>发</w:t>
      </w:r>
      <w:r>
        <w:rPr>
          <w:rFonts w:hint="eastAsia" w:ascii="仿宋_GB2312" w:eastAsia="仿宋_GB2312"/>
          <w:sz w:val="32"/>
          <w:szCs w:val="32"/>
          <w:lang w:val="en-US" w:eastAsia="zh-CN"/>
        </w:rPr>
        <w:t>放</w:t>
      </w:r>
      <w:r>
        <w:rPr>
          <w:rFonts w:hint="eastAsia" w:ascii="仿宋_GB2312" w:eastAsia="仿宋_GB2312"/>
          <w:sz w:val="32"/>
          <w:szCs w:val="32"/>
        </w:rPr>
        <w:t>上年度绩效考核奖金、调资增资追加预算经费款项等</w:t>
      </w:r>
      <w:r>
        <w:rPr>
          <w:rFonts w:hint="eastAsia" w:ascii="仿宋_GB2312" w:eastAsia="仿宋_GB2312"/>
          <w:color w:val="auto"/>
          <w:spacing w:val="0"/>
          <w:sz w:val="32"/>
          <w:szCs w:val="32"/>
          <w:highlight w:val="none"/>
          <w:lang w:eastAsia="zh-CN"/>
        </w:rPr>
        <w:t>。</w:t>
      </w:r>
    </w:p>
    <w:p w14:paraId="1C922A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5.住房保障支出（类）住房改革支出（款）住房公积金（项）:支出决算数为6.99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46.63%，主要原因是：</w:t>
      </w:r>
      <w:r>
        <w:rPr>
          <w:rFonts w:hint="eastAsia" w:ascii="仿宋_GB2312" w:eastAsia="仿宋_GB2312"/>
          <w:sz w:val="32"/>
          <w:szCs w:val="32"/>
        </w:rPr>
        <w:t>人员工资增长，</w:t>
      </w:r>
      <w:r>
        <w:rPr>
          <w:rFonts w:hint="eastAsia" w:ascii="仿宋_GB2312" w:eastAsia="仿宋_GB2312"/>
          <w:sz w:val="32"/>
          <w:szCs w:val="32"/>
          <w:lang w:val="en-US" w:eastAsia="zh-CN"/>
        </w:rPr>
        <w:t>住房公积金</w:t>
      </w:r>
      <w:r>
        <w:rPr>
          <w:rFonts w:hint="eastAsia" w:ascii="仿宋_GB2312" w:eastAsia="仿宋_GB2312"/>
          <w:sz w:val="32"/>
          <w:szCs w:val="32"/>
        </w:rPr>
        <w:t>基数</w:t>
      </w:r>
      <w:r>
        <w:rPr>
          <w:rFonts w:hint="eastAsia" w:ascii="仿宋_GB2312" w:eastAsia="仿宋_GB2312"/>
          <w:sz w:val="32"/>
          <w:szCs w:val="32"/>
          <w:lang w:val="en-US" w:eastAsia="zh-CN"/>
        </w:rPr>
        <w:t>增长调整</w:t>
      </w:r>
      <w:r>
        <w:rPr>
          <w:rFonts w:hint="eastAsia" w:eastAsia="仿宋_GB2312" w:cs="Times New Roman"/>
          <w:color w:val="auto"/>
          <w:kern w:val="2"/>
          <w:sz w:val="32"/>
          <w:szCs w:val="32"/>
          <w:highlight w:val="none"/>
          <w:lang w:val="zh-CN" w:eastAsia="zh-CN" w:bidi="ar-SA"/>
        </w:rPr>
        <w:t>。</w:t>
      </w:r>
    </w:p>
    <w:p w14:paraId="566FDBA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6.社会保障和就业支出（类）行政事业单位养老支出（款）行政单位离退休（项）:支出决算数为1.89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33.69%，主要原因是：</w:t>
      </w:r>
      <w:r>
        <w:rPr>
          <w:rFonts w:hint="eastAsia" w:ascii="仿宋_GB2312" w:eastAsia="仿宋_GB2312"/>
          <w:sz w:val="32"/>
          <w:szCs w:val="32"/>
          <w:lang w:val="en-US" w:eastAsia="zh-CN"/>
        </w:rPr>
        <w:t>退休人员的医疗费财政收回，故行政单位离退休减少</w:t>
      </w:r>
      <w:r>
        <w:rPr>
          <w:rFonts w:hint="eastAsia" w:eastAsia="仿宋_GB2312" w:cs="Times New Roman"/>
          <w:color w:val="auto"/>
          <w:kern w:val="2"/>
          <w:sz w:val="32"/>
          <w:szCs w:val="32"/>
          <w:highlight w:val="none"/>
          <w:lang w:val="en-US" w:eastAsia="zh-CN" w:bidi="ar-SA"/>
        </w:rPr>
        <w:t>。</w:t>
      </w:r>
    </w:p>
    <w:p w14:paraId="59B64C8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7.社会保障和就业支出（类）行政事业单位养老支出（款）机关事业单位基本养老保险缴费支出（项）:支出决算数为9.32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46.63%，主要原因是：</w:t>
      </w:r>
      <w:r>
        <w:rPr>
          <w:rFonts w:hint="eastAsia" w:eastAsia="仿宋_GB2312" w:cs="Times New Roman"/>
          <w:color w:val="auto"/>
          <w:kern w:val="2"/>
          <w:sz w:val="32"/>
          <w:szCs w:val="32"/>
          <w:highlight w:val="none"/>
          <w:lang w:val="en-US" w:eastAsia="zh-CN" w:bidi="ar-SA"/>
        </w:rPr>
        <w:t>人员工资增长，社保基数增长调整</w:t>
      </w:r>
      <w:r>
        <w:rPr>
          <w:rFonts w:hint="eastAsia" w:eastAsia="仿宋_GB2312" w:cs="Times New Roman"/>
          <w:color w:val="auto"/>
          <w:kern w:val="2"/>
          <w:sz w:val="32"/>
          <w:szCs w:val="32"/>
          <w:highlight w:val="none"/>
          <w:lang w:val="zh-CN" w:eastAsia="zh-CN" w:bidi="ar-SA"/>
        </w:rPr>
        <w:t>。</w:t>
      </w:r>
    </w:p>
    <w:p w14:paraId="182BD7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2BE1D6F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103.20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伙食补助费、机关事业单位基本养老保险缴费、职工基本医疗保险缴费、公务员医疗补助缴费、其他社会保障缴费、住房公积金、退休费、生活补助、医疗费补助、奖励金、其他对个人和家庭的补助。</w:t>
      </w:r>
    </w:p>
    <w:p w14:paraId="69DF664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4.60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办公费、手续费、邮电费、取暖费、物业管理费、差旅费、工会经费、福利费、其他交通费用、其他商品和服务支出。</w:t>
      </w:r>
    </w:p>
    <w:p w14:paraId="28CDF5D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10C6ABD6">
      <w:pPr>
        <w:ind w:firstLine="640" w:firstLineChars="200"/>
        <w:rPr>
          <w:rFonts w:ascii="仿宋_GB2312" w:eastAsia="仿宋_GB2312"/>
          <w:sz w:val="32"/>
          <w:szCs w:val="32"/>
        </w:rPr>
      </w:pPr>
      <w:bookmarkStart w:id="18" w:name="_Toc5810"/>
      <w:bookmarkStart w:id="19" w:name="_Toc7927"/>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年度财政拨款“三公”经费支出决算</w:t>
      </w:r>
      <w:r>
        <w:rPr>
          <w:rFonts w:ascii="仿宋_GB2312" w:eastAsia="仿宋_GB2312"/>
          <w:sz w:val="32"/>
          <w:szCs w:val="32"/>
        </w:rPr>
        <w:t>0.00</w:t>
      </w:r>
      <w:r>
        <w:rPr>
          <w:rFonts w:hint="eastAsia" w:ascii="仿宋_GB2312" w:eastAsia="仿宋_GB2312"/>
          <w:sz w:val="32"/>
          <w:szCs w:val="32"/>
        </w:rPr>
        <w:t>万元，比上年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我单位无财政拨款“三公”经费支出</w:t>
      </w:r>
      <w:r>
        <w:rPr>
          <w:rFonts w:hint="eastAsia" w:ascii="仿宋_GB2312" w:eastAsia="仿宋_GB2312"/>
          <w:sz w:val="32"/>
          <w:szCs w:val="32"/>
        </w:rPr>
        <w:t>。其中：因公出国（境）费支出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我单位无因公出国（境）费</w:t>
      </w:r>
      <w:r>
        <w:rPr>
          <w:rFonts w:hint="eastAsia" w:ascii="仿宋_GB2312" w:eastAsia="仿宋_GB2312"/>
          <w:sz w:val="32"/>
          <w:szCs w:val="32"/>
        </w:rPr>
        <w:t>；公务用车购置及运行维护费支出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我单位无公务用车购置及运行维护费</w:t>
      </w:r>
      <w:r>
        <w:rPr>
          <w:rFonts w:hint="eastAsia" w:ascii="仿宋_GB2312" w:eastAsia="仿宋_GB2312"/>
          <w:sz w:val="32"/>
          <w:szCs w:val="32"/>
        </w:rPr>
        <w:t>；公务接待费支出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%，比上年</w:t>
      </w:r>
      <w:r>
        <w:rPr>
          <w:rFonts w:ascii="仿宋_GB2312" w:eastAsia="仿宋_GB2312"/>
          <w:sz w:val="32"/>
          <w:szCs w:val="32"/>
        </w:rPr>
        <w:t>增加0.00</w:t>
      </w:r>
      <w:r>
        <w:rPr>
          <w:rFonts w:hint="eastAsia" w:ascii="仿宋_GB2312" w:eastAsia="仿宋_GB2312"/>
          <w:sz w:val="32"/>
          <w:szCs w:val="32"/>
        </w:rPr>
        <w:t>万元，</w:t>
      </w:r>
      <w:r>
        <w:rPr>
          <w:rFonts w:ascii="仿宋_GB2312" w:eastAsia="仿宋_GB2312"/>
          <w:sz w:val="32"/>
          <w:szCs w:val="32"/>
        </w:rPr>
        <w:t>增长0.00</w:t>
      </w:r>
      <w:r>
        <w:rPr>
          <w:rFonts w:hint="eastAsia" w:ascii="仿宋_GB2312" w:eastAsia="仿宋_GB2312"/>
          <w:sz w:val="32"/>
          <w:szCs w:val="32"/>
        </w:rPr>
        <w:t>%，主要原因是：</w:t>
      </w:r>
      <w:r>
        <w:rPr>
          <w:rFonts w:ascii="仿宋_GB2312" w:eastAsia="仿宋_GB2312"/>
          <w:sz w:val="32"/>
          <w:szCs w:val="32"/>
        </w:rPr>
        <w:t>我单位无公务接待费</w:t>
      </w:r>
      <w:r>
        <w:rPr>
          <w:rFonts w:hint="eastAsia" w:ascii="仿宋_GB2312" w:eastAsia="仿宋_GB2312"/>
          <w:sz w:val="32"/>
          <w:szCs w:val="32"/>
        </w:rPr>
        <w:t>。具体情况如下：</w:t>
      </w:r>
    </w:p>
    <w:p w14:paraId="49F594E7">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05D1DE57">
      <w:pPr>
        <w:ind w:firstLine="640" w:firstLineChars="200"/>
        <w:rPr>
          <w:rFonts w:hint="default" w:ascii="仿宋_GB2312" w:eastAsia="仿宋_GB2312"/>
          <w:sz w:val="32"/>
          <w:szCs w:val="32"/>
          <w:lang w:val="en-US" w:eastAsia="zh-CN"/>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r>
        <w:rPr>
          <w:rFonts w:hint="eastAsia" w:ascii="仿宋_GB2312" w:eastAsia="仿宋_GB2312"/>
          <w:sz w:val="32"/>
          <w:szCs w:val="32"/>
          <w:highlight w:val="none"/>
        </w:rPr>
        <w:t>国有资产占用情况</w:t>
      </w:r>
      <w:r>
        <w:rPr>
          <w:rFonts w:hint="eastAsia" w:ascii="仿宋_GB2312" w:eastAsia="仿宋_GB2312"/>
          <w:sz w:val="32"/>
          <w:szCs w:val="32"/>
          <w:highlight w:val="none"/>
          <w:lang w:val="en-US" w:eastAsia="zh-CN"/>
        </w:rPr>
        <w:t>中固定资产车辆0</w:t>
      </w:r>
      <w:r>
        <w:rPr>
          <w:rFonts w:hint="eastAsia" w:ascii="仿宋_GB2312" w:eastAsia="仿宋_GB2312"/>
          <w:sz w:val="32"/>
          <w:szCs w:val="32"/>
          <w:highlight w:val="none"/>
        </w:rPr>
        <w:t>辆</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与</w:t>
      </w:r>
      <w:r>
        <w:rPr>
          <w:rFonts w:hint="eastAsia" w:ascii="仿宋_GB2312" w:eastAsia="仿宋_GB2312"/>
          <w:sz w:val="32"/>
          <w:szCs w:val="32"/>
          <w:highlight w:val="none"/>
        </w:rPr>
        <w:t>公务用车</w:t>
      </w:r>
      <w:r>
        <w:rPr>
          <w:rFonts w:hint="eastAsia" w:ascii="仿宋_GB2312" w:eastAsia="仿宋_GB2312"/>
          <w:sz w:val="32"/>
          <w:szCs w:val="32"/>
          <w:highlight w:val="none"/>
          <w:lang w:val="en-US" w:eastAsia="zh-CN"/>
        </w:rPr>
        <w:t>保有量差异</w:t>
      </w:r>
      <w:r>
        <w:rPr>
          <w:rFonts w:hint="eastAsia" w:ascii="仿宋_GB2312" w:eastAsia="仿宋_GB2312"/>
          <w:sz w:val="32"/>
          <w:szCs w:val="32"/>
          <w:highlight w:val="none"/>
          <w:lang w:eastAsia="zh-CN"/>
        </w:rPr>
        <w:t>原因是</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车辆为</w:t>
      </w:r>
      <w:r>
        <w:rPr>
          <w:rFonts w:hint="eastAsia" w:ascii="仿宋_GB2312" w:eastAsia="仿宋_GB2312"/>
          <w:sz w:val="32"/>
          <w:szCs w:val="32"/>
          <w:highlight w:val="none"/>
          <w:lang w:val="en-US" w:eastAsia="zh-CN"/>
        </w:rPr>
        <w:t>0，无差异。</w:t>
      </w:r>
    </w:p>
    <w:p w14:paraId="0FF2A507">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14:paraId="3D5F097F">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bookmarkEnd w:id="18"/>
    <w:bookmarkEnd w:id="19"/>
    <w:p w14:paraId="44A91514">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八、政府性基金预算财政拨款收入支出决算情况说明</w:t>
      </w:r>
    </w:p>
    <w:p w14:paraId="0816D96D">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45AB0DB0">
      <w:pPr>
        <w:ind w:firstLine="640" w:firstLineChars="200"/>
        <w:rPr>
          <w:rFonts w:ascii="Arial" w:hAnsi="Arial" w:cs="Arial"/>
          <w:color w:val="4D4D4D"/>
          <w:shd w:val="clear" w:color="auto" w:fill="FFFFFF"/>
        </w:rPr>
      </w:pPr>
      <w:r>
        <w:rPr>
          <w:rFonts w:hint="eastAsia" w:ascii="黑体" w:hAnsi="黑体" w:eastAsia="黑体" w:cs="宋体"/>
          <w:bCs/>
          <w:kern w:val="0"/>
          <w:sz w:val="32"/>
          <w:szCs w:val="32"/>
        </w:rPr>
        <w:t>九、国有资本经营预算财政拨款收入支出决算情况说明</w:t>
      </w:r>
    </w:p>
    <w:p w14:paraId="1922BF58">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9EFAD4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5EF5375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05A378AC">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哈密市伊州区国土资源执法监察大队（行政单位和参照公务员法管理事业单位）机关运行经费支出4.60万元，比上年减少0.76万元，下降14.20%，主要原因是：</w:t>
      </w:r>
      <w:r>
        <w:rPr>
          <w:rFonts w:hint="eastAsia" w:ascii="仿宋_GB2312" w:eastAsia="仿宋_GB2312"/>
          <w:sz w:val="32"/>
          <w:szCs w:val="32"/>
          <w:lang w:eastAsia="zh-CN"/>
        </w:rPr>
        <w:t>按规定厉行节约</w:t>
      </w:r>
      <w:r>
        <w:rPr>
          <w:rFonts w:hint="eastAsia" w:ascii="仿宋_GB2312" w:eastAsia="仿宋_GB2312"/>
          <w:sz w:val="32"/>
          <w:szCs w:val="32"/>
          <w:lang w:val="en-US" w:eastAsia="zh-CN"/>
        </w:rPr>
        <w:t>，机关运行</w:t>
      </w:r>
      <w:r>
        <w:rPr>
          <w:rFonts w:hint="eastAsia" w:ascii="仿宋_GB2312" w:eastAsia="仿宋_GB2312"/>
          <w:sz w:val="32"/>
          <w:szCs w:val="32"/>
        </w:rPr>
        <w:t>费减少</w:t>
      </w:r>
      <w:r>
        <w:rPr>
          <w:rFonts w:hint="eastAsia" w:ascii="Times New Roman" w:hAnsi="Times New Roman" w:eastAsia="仿宋_GB2312" w:cs="Times New Roman"/>
          <w:color w:val="auto"/>
          <w:sz w:val="32"/>
          <w:szCs w:val="32"/>
          <w:highlight w:val="none"/>
          <w:lang w:val="en-US" w:eastAsia="zh-CN"/>
        </w:rPr>
        <w:t>。</w:t>
      </w:r>
    </w:p>
    <w:p w14:paraId="43D13A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1B5188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4132D6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3DA6744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3F2420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102.71</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屋131.48平方米，价值70.88万元。车辆0辆，价值0.00万元，其中：副部（省）级及以上领导用车0辆、主要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173C2B4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08BE3675">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lang w:eastAsia="zh-CN"/>
        </w:rPr>
        <w:t>。</w:t>
      </w:r>
    </w:p>
    <w:p w14:paraId="6D2B37E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BD231A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w:t>
      </w:r>
    </w:p>
    <w:p w14:paraId="3C954FF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D21C57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0DF56A1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04752AB">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C2A488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C9B5172">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A0EEE9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0E0C05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4E61365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A38211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3A96CFA">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53CF6EB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6F8CA82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14:paraId="3B5A42CA">
      <w:pPr>
        <w:keepNext w:val="0"/>
        <w:keepLines w:val="0"/>
        <w:pageBreakBefore w:val="0"/>
        <w:widowControl w:val="0"/>
        <w:kinsoku/>
        <w:wordWrap/>
        <w:overflowPunct/>
        <w:topLinePunct w:val="0"/>
        <w:bidi w:val="0"/>
        <w:adjustRightInd/>
        <w:snapToGrid/>
        <w:spacing w:line="240" w:lineRule="auto"/>
        <w:ind w:firstLine="640" w:firstLineChars="200"/>
        <w:jc w:val="center"/>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CC809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05C651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5010C60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4EDC9F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C149BA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8C59A2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6EFE333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63ACFE3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22BA4D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33A4424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3B275F4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E61B3E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36615B8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72A3410D">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DC1FE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728653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5A63A3B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666C06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306AE5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3AFD55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254F6DB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6B29BBF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161A6E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1534E58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CF2EDCF">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6A89E56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8A75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D5799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1D57993">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4D6C5C"/>
    <w:rsid w:val="04C04386"/>
    <w:rsid w:val="04FA68C4"/>
    <w:rsid w:val="053F5AE6"/>
    <w:rsid w:val="057C0B0F"/>
    <w:rsid w:val="05EF4B48"/>
    <w:rsid w:val="05F76ECA"/>
    <w:rsid w:val="06792773"/>
    <w:rsid w:val="07093795"/>
    <w:rsid w:val="07804730"/>
    <w:rsid w:val="079052BE"/>
    <w:rsid w:val="08145C21"/>
    <w:rsid w:val="08422688"/>
    <w:rsid w:val="08533A5B"/>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5E3E6B"/>
    <w:rsid w:val="176747F9"/>
    <w:rsid w:val="17954A6E"/>
    <w:rsid w:val="180059E9"/>
    <w:rsid w:val="184510FD"/>
    <w:rsid w:val="190648B0"/>
    <w:rsid w:val="19071D6C"/>
    <w:rsid w:val="19D26CD4"/>
    <w:rsid w:val="19E60D19"/>
    <w:rsid w:val="1A3E3450"/>
    <w:rsid w:val="1AA85327"/>
    <w:rsid w:val="1AD807E5"/>
    <w:rsid w:val="1B0E22CF"/>
    <w:rsid w:val="1B39345B"/>
    <w:rsid w:val="1BFB2A1F"/>
    <w:rsid w:val="1C015D4A"/>
    <w:rsid w:val="1C290ED5"/>
    <w:rsid w:val="1C317E4F"/>
    <w:rsid w:val="1C472464"/>
    <w:rsid w:val="1D22799A"/>
    <w:rsid w:val="1D5C1A72"/>
    <w:rsid w:val="1DAF458D"/>
    <w:rsid w:val="1E086ACE"/>
    <w:rsid w:val="1E6004B4"/>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490C9F"/>
    <w:rsid w:val="29CB58F0"/>
    <w:rsid w:val="2A053397"/>
    <w:rsid w:val="2A145E96"/>
    <w:rsid w:val="2AF5378F"/>
    <w:rsid w:val="2BB94DBF"/>
    <w:rsid w:val="2C6F314E"/>
    <w:rsid w:val="2CC206BE"/>
    <w:rsid w:val="2D1136DF"/>
    <w:rsid w:val="2D20606D"/>
    <w:rsid w:val="2D6C4ED1"/>
    <w:rsid w:val="2DB87198"/>
    <w:rsid w:val="2DB93C54"/>
    <w:rsid w:val="2E3D144C"/>
    <w:rsid w:val="2E891204"/>
    <w:rsid w:val="2F3F0A28"/>
    <w:rsid w:val="2FBF7029"/>
    <w:rsid w:val="2FD0187F"/>
    <w:rsid w:val="2FD27414"/>
    <w:rsid w:val="2FFE4BB0"/>
    <w:rsid w:val="300E7B60"/>
    <w:rsid w:val="300F6E18"/>
    <w:rsid w:val="30862F5F"/>
    <w:rsid w:val="3138105E"/>
    <w:rsid w:val="314029C9"/>
    <w:rsid w:val="31913261"/>
    <w:rsid w:val="31C63837"/>
    <w:rsid w:val="31C82E39"/>
    <w:rsid w:val="32601BAD"/>
    <w:rsid w:val="329F6389"/>
    <w:rsid w:val="3389023A"/>
    <w:rsid w:val="33CB74FA"/>
    <w:rsid w:val="343642F2"/>
    <w:rsid w:val="343F3010"/>
    <w:rsid w:val="345D0A00"/>
    <w:rsid w:val="34713BFD"/>
    <w:rsid w:val="34C13589"/>
    <w:rsid w:val="353369E3"/>
    <w:rsid w:val="35E00D72"/>
    <w:rsid w:val="35E26B2D"/>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B824784"/>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333D3"/>
    <w:rsid w:val="48387FB0"/>
    <w:rsid w:val="483A6114"/>
    <w:rsid w:val="488727DB"/>
    <w:rsid w:val="48B82268"/>
    <w:rsid w:val="48C354B3"/>
    <w:rsid w:val="49221219"/>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3E476F3"/>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704AE4"/>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A27B7"/>
    <w:rsid w:val="6B68175F"/>
    <w:rsid w:val="6BFD799F"/>
    <w:rsid w:val="6C3C3BDB"/>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3A6CF4"/>
    <w:rsid w:val="71473612"/>
    <w:rsid w:val="71504F32"/>
    <w:rsid w:val="7152309F"/>
    <w:rsid w:val="718F7F65"/>
    <w:rsid w:val="727B234E"/>
    <w:rsid w:val="72821940"/>
    <w:rsid w:val="72D068C7"/>
    <w:rsid w:val="72E42ED8"/>
    <w:rsid w:val="731B0041"/>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83622F"/>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5085</Words>
  <Characters>5667</Characters>
  <Lines>0</Lines>
  <Paragraphs>0</Paragraphs>
  <TotalTime>0</TotalTime>
  <ScaleCrop>false</ScaleCrop>
  <LinksUpToDate>false</LinksUpToDate>
  <CharactersWithSpaces>5686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2024-09-02T03:29:04Z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