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69DF5">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042E018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62E2BE9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哈密市国土资源执法监察支队</w:t>
      </w:r>
    </w:p>
    <w:p w14:paraId="576D218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338D460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65F19D4F">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5A3EF898">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151D104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42A1492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3EAED74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37E1AEB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0171B7D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667CD2D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23BC17E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71243A9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6093F5B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11B981A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3BCB74D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4B172F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1110E36">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38ED5E4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D4C971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4087065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1F349E8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E78952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2EDF1DA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0B3BF49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6911CDC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28433B7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42BC6F5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461F5E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17ED72D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173C2D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941819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7C35D22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7E2FB10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E44B4B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69116BF">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8C56AFA">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B4E18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14:paraId="5E52C74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3D5F512A">
      <w:pPr>
        <w:ind w:firstLine="640" w:firstLineChars="200"/>
        <w:rPr>
          <w:rFonts w:ascii="黑体" w:hAnsi="黑体" w:eastAsia="黑体" w:cs="宋体"/>
          <w:bCs/>
          <w:kern w:val="0"/>
          <w:sz w:val="32"/>
          <w:szCs w:val="32"/>
        </w:rPr>
      </w:pPr>
      <w:r>
        <w:rPr>
          <w:rFonts w:ascii="仿宋_GB2312" w:eastAsia="仿宋_GB2312"/>
          <w:sz w:val="32"/>
          <w:szCs w:val="32"/>
        </w:rPr>
        <w:t>哈密市国土资源执法监察支队汇总，为自治区自然资源厅下属三级预算单位，参照公务员法管理的事业单位。实行垂直管理，统一履行哈密市国土资源执法监察职能。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w:t>
      </w:r>
      <w:r>
        <w:rPr>
          <w:rFonts w:ascii="仿宋_GB2312" w:eastAsia="仿宋_GB2312"/>
          <w:sz w:val="32"/>
          <w:szCs w:val="32"/>
        </w:rPr>
        <w:br w:type="textWrapping"/>
      </w:r>
      <w:r>
        <w:rPr>
          <w:rFonts w:ascii="仿宋_GB2312" w:eastAsia="仿宋_GB2312"/>
          <w:sz w:val="32"/>
          <w:szCs w:val="32"/>
        </w:rPr>
        <w:t>的法律、法规、规章和政策。</w:t>
      </w:r>
      <w:r>
        <w:rPr>
          <w:rFonts w:ascii="仿宋_GB2312" w:eastAsia="仿宋_GB2312"/>
          <w:sz w:val="32"/>
          <w:szCs w:val="32"/>
        </w:rPr>
        <w:br w:type="textWrapping"/>
      </w:r>
      <w:r>
        <w:rPr>
          <w:rFonts w:ascii="仿宋_GB2312" w:eastAsia="仿宋_GB2312"/>
          <w:sz w:val="32"/>
          <w:szCs w:val="32"/>
        </w:rPr>
        <w:t>　　2、组织和实施对哈密市区域执行土地、矿产资源法律、法规、规章情况的巡查，及时发现和制止土地、矿产资源违法行为。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3.依法组织和实施对哈密市区域重大土地、矿产资源违法案件的调查、取证、现场勘验工作，并提交哈密市、自治区土地、矿产资源重大违法案件调查报告和查处意见。</w:t>
      </w:r>
      <w:r>
        <w:rPr>
          <w:rFonts w:ascii="仿宋_GB2312" w:eastAsia="仿宋_GB2312"/>
          <w:sz w:val="32"/>
          <w:szCs w:val="32"/>
        </w:rPr>
        <w:br w:type="textWrapping"/>
      </w:r>
      <w:r>
        <w:rPr>
          <w:rFonts w:ascii="仿宋_GB2312" w:eastAsia="仿宋_GB2312"/>
          <w:sz w:val="32"/>
          <w:szCs w:val="32"/>
        </w:rPr>
        <w:t>　　4.负责哈密市区域重大土地、矿产资源违法案件查处决定的督办</w:t>
      </w:r>
      <w:r>
        <w:rPr>
          <w:rFonts w:hint="eastAsia" w:ascii="仿宋_GB2312" w:eastAsia="仿宋_GB2312"/>
          <w:sz w:val="32"/>
          <w:szCs w:val="32"/>
        </w:rPr>
        <w:t>。</w:t>
      </w:r>
    </w:p>
    <w:p w14:paraId="262025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1983B6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哈密市国土资源执法监察支队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w:t>
      </w:r>
    </w:p>
    <w:p w14:paraId="0224CBD9">
      <w:pPr>
        <w:ind w:firstLine="640" w:firstLineChars="200"/>
        <w:rPr>
          <w:rFonts w:ascii="仿宋_GB2312" w:eastAsia="仿宋_GB2312"/>
          <w:sz w:val="32"/>
          <w:szCs w:val="32"/>
        </w:rPr>
      </w:pPr>
      <w:bookmarkStart w:id="6" w:name="_Toc29374"/>
      <w:bookmarkStart w:id="7" w:name="_Toc3092"/>
      <w:r>
        <w:rPr>
          <w:rFonts w:hint="eastAsia" w:ascii="仿宋_GB2312" w:eastAsia="仿宋_GB2312"/>
          <w:sz w:val="32"/>
          <w:szCs w:val="32"/>
        </w:rPr>
        <w:t>从部门决算单位构成看，新疆维吾尔自治区哈密市国土资源执法监察支队部门决算包括：新疆维吾尔自治区哈密市国土资源执法监察支队本级决算及所属单位决算。</w:t>
      </w:r>
    </w:p>
    <w:p w14:paraId="630A3678">
      <w:pPr>
        <w:ind w:firstLine="640" w:firstLineChars="200"/>
        <w:rPr>
          <w:rFonts w:ascii="仿宋_GB2312" w:hAnsi="宋体" w:eastAsia="仿宋_GB2312" w:cs="宋体"/>
          <w:kern w:val="0"/>
          <w:sz w:val="32"/>
          <w:szCs w:val="32"/>
        </w:rPr>
      </w:pPr>
      <w:r>
        <w:rPr>
          <w:rFonts w:hint="eastAsia" w:ascii="仿宋_GB2312" w:eastAsia="仿宋_GB2312"/>
          <w:sz w:val="32"/>
          <w:szCs w:val="32"/>
        </w:rPr>
        <w:t>新疆维吾尔自治区哈密市国土资源执法监察支队</w:t>
      </w:r>
      <w:r>
        <w:rPr>
          <w:rFonts w:hint="eastAsia" w:ascii="仿宋_GB2312" w:hAnsi="宋体" w:eastAsia="仿宋_GB2312" w:cs="宋体"/>
          <w:kern w:val="0"/>
          <w:sz w:val="32"/>
          <w:szCs w:val="32"/>
        </w:rPr>
        <w:t>本级</w:t>
      </w:r>
      <w:r>
        <w:rPr>
          <w:rFonts w:hint="eastAsia" w:ascii="仿宋_GB2312" w:hAnsi="黑体" w:eastAsia="仿宋_GB2312" w:cs="宋体"/>
          <w:bCs/>
          <w:kern w:val="0"/>
          <w:sz w:val="32"/>
          <w:szCs w:val="32"/>
        </w:rPr>
        <w:t>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个处室，分别是：办公室、执法科</w:t>
      </w:r>
      <w:r>
        <w:rPr>
          <w:rFonts w:hint="eastAsia" w:ascii="仿宋_GB2312" w:hAnsi="宋体" w:eastAsia="仿宋_GB2312" w:cs="宋体"/>
          <w:kern w:val="0"/>
          <w:sz w:val="32"/>
          <w:szCs w:val="32"/>
        </w:rPr>
        <w:t>。</w:t>
      </w:r>
    </w:p>
    <w:p w14:paraId="539F22FC">
      <w:pPr>
        <w:ind w:firstLine="640" w:firstLineChars="200"/>
        <w:rPr>
          <w:rFonts w:hint="eastAsia" w:ascii="仿宋_GB2312" w:eastAsia="仿宋_GB2312"/>
          <w:sz w:val="32"/>
          <w:szCs w:val="32"/>
        </w:rPr>
      </w:pPr>
      <w:r>
        <w:rPr>
          <w:rFonts w:hint="eastAsia" w:ascii="仿宋_GB2312" w:eastAsia="仿宋_GB2312"/>
          <w:sz w:val="32"/>
          <w:szCs w:val="32"/>
        </w:rPr>
        <w:t>纳入新疆维吾尔自治区哈密市国土资源执法监察支队</w:t>
      </w:r>
      <w:r>
        <w:rPr>
          <w:rFonts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年度部门决算编制范围的单位名单</w:t>
      </w:r>
      <w:r>
        <w:rPr>
          <w:rFonts w:hint="eastAsia" w:ascii="仿宋_GB2312" w:eastAsia="仿宋_GB2312"/>
          <w:sz w:val="32"/>
          <w:szCs w:val="32"/>
          <w:lang w:val="en-US" w:eastAsia="zh-CN"/>
        </w:rPr>
        <w:t>如下</w:t>
      </w:r>
      <w:r>
        <w:rPr>
          <w:rFonts w:hint="eastAsia" w:ascii="仿宋_GB2312" w:eastAsia="仿宋_GB2312"/>
          <w:sz w:val="32"/>
          <w:szCs w:val="32"/>
        </w:rPr>
        <w:t>：</w:t>
      </w:r>
    </w:p>
    <w:p w14:paraId="151E3BB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w:t>
      </w:r>
      <w:r>
        <w:rPr>
          <w:rFonts w:hint="default"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en-US" w:eastAsia="zh-CN"/>
        </w:rPr>
        <w:t>哈密市国土资源执法监察支队（本级）</w:t>
      </w:r>
    </w:p>
    <w:p w14:paraId="37A98F4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w:t>
      </w:r>
      <w:r>
        <w:rPr>
          <w:rFonts w:hint="default"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en-US" w:eastAsia="zh-CN"/>
        </w:rPr>
        <w:t>哈密市伊州区国土资源执法监察大队</w:t>
      </w:r>
    </w:p>
    <w:p w14:paraId="060062B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w:t>
      </w:r>
      <w:r>
        <w:rPr>
          <w:rFonts w:hint="default"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en-US" w:eastAsia="zh-CN"/>
        </w:rPr>
        <w:t>巴里坤哈萨克自治县国土资源执法监察大队</w:t>
      </w:r>
    </w:p>
    <w:p w14:paraId="14AF5EF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w:t>
      </w:r>
      <w:r>
        <w:rPr>
          <w:rFonts w:hint="default"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en-US" w:eastAsia="zh-CN"/>
        </w:rPr>
        <w:t>伊吾县国土资源执法监察大队</w:t>
      </w:r>
    </w:p>
    <w:p w14:paraId="49BEF3B9">
      <w:pPr>
        <w:ind w:firstLine="640" w:firstLineChars="200"/>
        <w:rPr>
          <w:rFonts w:hint="eastAsia" w:ascii="仿宋_GB2312" w:eastAsia="仿宋_GB2312"/>
          <w:sz w:val="32"/>
          <w:szCs w:val="32"/>
        </w:rPr>
      </w:pPr>
    </w:p>
    <w:p w14:paraId="3D020F9D">
      <w:pPr>
        <w:ind w:firstLine="640" w:firstLineChars="200"/>
        <w:rPr>
          <w:rFonts w:hint="eastAsia" w:ascii="仿宋_GB2312" w:eastAsia="仿宋_GB2312"/>
          <w:sz w:val="32"/>
          <w:szCs w:val="32"/>
        </w:rPr>
      </w:pPr>
    </w:p>
    <w:p w14:paraId="0EEBEF2D">
      <w:pPr>
        <w:ind w:firstLine="640" w:firstLineChars="200"/>
        <w:rPr>
          <w:rFonts w:hint="eastAsia" w:ascii="仿宋_GB2312" w:eastAsia="仿宋_GB2312"/>
          <w:sz w:val="32"/>
          <w:szCs w:val="32"/>
        </w:rPr>
      </w:pPr>
    </w:p>
    <w:p w14:paraId="383E8BBB">
      <w:pPr>
        <w:ind w:firstLine="640" w:firstLineChars="200"/>
        <w:rPr>
          <w:rFonts w:hint="eastAsia" w:ascii="仿宋_GB2312" w:eastAsia="仿宋_GB2312"/>
          <w:sz w:val="32"/>
          <w:szCs w:val="32"/>
        </w:rPr>
      </w:pPr>
    </w:p>
    <w:p w14:paraId="17F6DA9B">
      <w:pPr>
        <w:ind w:firstLine="640" w:firstLineChars="200"/>
        <w:rPr>
          <w:rFonts w:hint="eastAsia" w:ascii="仿宋_GB2312" w:eastAsia="仿宋_GB2312"/>
          <w:sz w:val="32"/>
          <w:szCs w:val="32"/>
        </w:rPr>
      </w:pPr>
    </w:p>
    <w:p w14:paraId="174CF761">
      <w:pPr>
        <w:ind w:firstLine="640" w:firstLineChars="200"/>
        <w:rPr>
          <w:rFonts w:hint="eastAsia" w:ascii="仿宋_GB2312" w:eastAsia="仿宋_GB2312"/>
          <w:sz w:val="32"/>
          <w:szCs w:val="32"/>
        </w:rPr>
      </w:pPr>
    </w:p>
    <w:p w14:paraId="1F440C06">
      <w:pPr>
        <w:ind w:firstLine="640" w:firstLineChars="200"/>
        <w:rPr>
          <w:rFonts w:hint="eastAsia" w:ascii="仿宋_GB2312" w:eastAsia="仿宋_GB2312"/>
          <w:sz w:val="32"/>
          <w:szCs w:val="32"/>
        </w:rPr>
      </w:pPr>
    </w:p>
    <w:p w14:paraId="6070B8CF">
      <w:pPr>
        <w:ind w:firstLine="640" w:firstLineChars="200"/>
        <w:rPr>
          <w:rFonts w:hint="eastAsia" w:ascii="仿宋_GB2312" w:eastAsia="仿宋_GB2312"/>
          <w:sz w:val="32"/>
          <w:szCs w:val="32"/>
        </w:rPr>
      </w:pPr>
    </w:p>
    <w:p w14:paraId="4205E44A">
      <w:pPr>
        <w:ind w:firstLine="640" w:firstLineChars="200"/>
        <w:rPr>
          <w:rFonts w:hint="eastAsia" w:ascii="仿宋_GB2312" w:eastAsia="仿宋_GB2312"/>
          <w:sz w:val="32"/>
          <w:szCs w:val="32"/>
        </w:rPr>
      </w:pPr>
    </w:p>
    <w:p w14:paraId="6519743B">
      <w:pPr>
        <w:ind w:firstLine="640" w:firstLineChars="200"/>
        <w:rPr>
          <w:rFonts w:hint="eastAsia" w:ascii="仿宋_GB2312" w:eastAsia="仿宋_GB2312"/>
          <w:sz w:val="32"/>
          <w:szCs w:val="32"/>
        </w:rPr>
      </w:pPr>
    </w:p>
    <w:p w14:paraId="102DD928">
      <w:pPr>
        <w:ind w:firstLine="640" w:firstLineChars="200"/>
        <w:rPr>
          <w:rFonts w:hint="eastAsia" w:ascii="仿宋_GB2312" w:eastAsia="仿宋_GB2312"/>
          <w:sz w:val="32"/>
          <w:szCs w:val="32"/>
        </w:rPr>
      </w:pPr>
    </w:p>
    <w:p w14:paraId="6BDDC1E5">
      <w:pPr>
        <w:ind w:firstLine="640" w:firstLineChars="200"/>
        <w:rPr>
          <w:rFonts w:hint="eastAsia" w:ascii="仿宋_GB2312" w:eastAsia="仿宋_GB2312"/>
          <w:sz w:val="32"/>
          <w:szCs w:val="32"/>
        </w:rPr>
      </w:pPr>
    </w:p>
    <w:p w14:paraId="35090EDA">
      <w:pPr>
        <w:ind w:firstLine="640" w:firstLineChars="200"/>
        <w:rPr>
          <w:rFonts w:hint="eastAsia" w:ascii="仿宋_GB2312" w:eastAsia="仿宋_GB2312"/>
          <w:sz w:val="32"/>
          <w:szCs w:val="32"/>
        </w:rPr>
      </w:pPr>
    </w:p>
    <w:p w14:paraId="1BB15858">
      <w:pPr>
        <w:ind w:firstLine="640" w:firstLineChars="200"/>
        <w:rPr>
          <w:rFonts w:hint="eastAsia" w:ascii="仿宋_GB2312" w:eastAsia="仿宋_GB2312"/>
          <w:sz w:val="32"/>
          <w:szCs w:val="32"/>
        </w:rPr>
      </w:pPr>
    </w:p>
    <w:p w14:paraId="6A3A719E">
      <w:pPr>
        <w:ind w:firstLine="640" w:firstLineChars="200"/>
        <w:rPr>
          <w:rFonts w:hint="eastAsia" w:ascii="仿宋_GB2312" w:eastAsia="仿宋_GB2312"/>
          <w:sz w:val="32"/>
          <w:szCs w:val="32"/>
        </w:rPr>
      </w:pPr>
    </w:p>
    <w:p w14:paraId="583286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DCE11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2FD976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685.88万元，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672.10万元，使用非财政拨款结余0.00万元，年初结转和结余13.78万元。</w:t>
      </w:r>
    </w:p>
    <w:p w14:paraId="646A7F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685.88万元，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659.29万元，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0.00万元，年末结转和结余26.59万元。</w:t>
      </w:r>
    </w:p>
    <w:p w14:paraId="19195EB5">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增加66.90万元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增长10.81%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w:t>
      </w:r>
      <w:r>
        <w:rPr>
          <w:rFonts w:hint="eastAsia" w:ascii="仿宋_GB2312" w:eastAsia="仿宋_GB2312"/>
          <w:sz w:val="32"/>
          <w:szCs w:val="32"/>
        </w:rPr>
        <w:t>人员职务职级变动，工资调整</w:t>
      </w:r>
      <w:r>
        <w:rPr>
          <w:rFonts w:hint="eastAsia" w:ascii="仿宋_GB2312" w:eastAsia="仿宋_GB2312"/>
          <w:sz w:val="32"/>
          <w:szCs w:val="32"/>
          <w:lang w:eastAsia="zh-CN"/>
        </w:rPr>
        <w:t>、</w:t>
      </w:r>
      <w:r>
        <w:rPr>
          <w:rFonts w:hint="eastAsia" w:ascii="仿宋_GB2312" w:eastAsia="仿宋_GB2312"/>
          <w:sz w:val="32"/>
          <w:szCs w:val="32"/>
        </w:rPr>
        <w:t>上年度绩效考核奖金追加预算</w:t>
      </w: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rPr>
        <w:t>社保缴费、住房公积金基数增加。</w:t>
      </w:r>
    </w:p>
    <w:p w14:paraId="00A1C4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53976F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672.10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672.05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232CF1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3F535C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本年支出659.29万元，其中：基本支出519.88万元，占78.85%；项目支出139.41万元，占21.15%；上缴上级支出0.00万元，占0.00%；经营支出0.00万元，占0.00%；对附属单位补助支出0.00万元，占0.00%。</w:t>
      </w:r>
    </w:p>
    <w:p w14:paraId="1C8266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798AFA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683.05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11.00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672.05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683.05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26.59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656.46</w:t>
      </w:r>
      <w:r>
        <w:rPr>
          <w:rFonts w:hint="eastAsia" w:ascii="仿宋_GB2312" w:eastAsia="仿宋_GB2312"/>
          <w:color w:val="auto"/>
          <w:spacing w:val="0"/>
          <w:sz w:val="32"/>
          <w:szCs w:val="32"/>
          <w:highlight w:val="none"/>
          <w:lang w:eastAsia="zh-CN"/>
        </w:rPr>
        <w:t>万元。</w:t>
      </w:r>
    </w:p>
    <w:p w14:paraId="579AE3E6">
      <w:pPr>
        <w:ind w:firstLine="640" w:firstLineChars="200"/>
        <w:rPr>
          <w:rFonts w:hint="eastAsia" w:ascii="仿宋_GB2312" w:eastAsia="仿宋_GB2312"/>
          <w:sz w:val="32"/>
          <w:szCs w:val="32"/>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增加84.51万元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增长14.12%，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1、人员职务职级变动和工资调整；2、发放上年度绩效考核奖金</w:t>
      </w:r>
      <w:r>
        <w:rPr>
          <w:rFonts w:hint="eastAsia" w:ascii="仿宋_GB2312" w:eastAsia="仿宋_GB2312"/>
          <w:sz w:val="32"/>
          <w:szCs w:val="32"/>
          <w:lang w:eastAsia="zh-CN"/>
        </w:rPr>
        <w:t>；</w:t>
      </w:r>
      <w:r>
        <w:rPr>
          <w:rFonts w:hint="eastAsia" w:ascii="仿宋_GB2312" w:eastAsia="仿宋_GB2312"/>
          <w:sz w:val="32"/>
          <w:szCs w:val="32"/>
        </w:rPr>
        <w:t>3、人员社保和住房公积金基数调整，缴费增加。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573.24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683.05</w:t>
      </w:r>
      <w:r>
        <w:rPr>
          <w:rFonts w:hint="eastAsia" w:ascii="仿宋_GB2312" w:eastAsia="仿宋_GB2312"/>
          <w:color w:val="auto"/>
          <w:spacing w:val="0"/>
          <w:sz w:val="32"/>
          <w:szCs w:val="32"/>
          <w:highlight w:val="none"/>
          <w:lang w:eastAsia="zh-CN"/>
        </w:rPr>
        <w:t>万元，预决算差异率19.16%，主要原因是：</w:t>
      </w:r>
      <w:r>
        <w:rPr>
          <w:rFonts w:hint="eastAsia" w:ascii="仿宋_GB2312" w:eastAsia="仿宋_GB2312"/>
          <w:sz w:val="32"/>
          <w:szCs w:val="32"/>
          <w:lang w:val="en-US" w:eastAsia="zh-CN"/>
        </w:rPr>
        <w:t>1、</w:t>
      </w:r>
      <w:r>
        <w:rPr>
          <w:rFonts w:hint="eastAsia" w:ascii="仿宋_GB2312" w:eastAsia="仿宋_GB2312"/>
          <w:sz w:val="32"/>
          <w:szCs w:val="32"/>
        </w:rPr>
        <w:t>人员职务职级变动和工资调整</w:t>
      </w: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rPr>
        <w:t>社保缴费、住房公积金基数调整</w:t>
      </w:r>
      <w:r>
        <w:rPr>
          <w:rFonts w:hint="eastAsia" w:ascii="仿宋_GB2312" w:eastAsia="仿宋_GB2312"/>
          <w:sz w:val="32"/>
          <w:szCs w:val="32"/>
          <w:lang w:eastAsia="zh-CN"/>
        </w:rPr>
        <w:t>，</w:t>
      </w:r>
      <w:r>
        <w:rPr>
          <w:rFonts w:hint="eastAsia" w:ascii="仿宋_GB2312" w:eastAsia="仿宋_GB2312"/>
          <w:sz w:val="32"/>
          <w:szCs w:val="32"/>
        </w:rPr>
        <w:t>缴费增加</w:t>
      </w: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rPr>
        <w:t>追加上年度绩效考核奖经费</w:t>
      </w:r>
      <w:r>
        <w:rPr>
          <w:rFonts w:hint="eastAsia" w:ascii="仿宋_GB2312" w:eastAsia="仿宋_GB2312"/>
          <w:sz w:val="32"/>
          <w:szCs w:val="32"/>
          <w:lang w:eastAsia="zh-CN"/>
        </w:rPr>
        <w:t>。</w:t>
      </w:r>
    </w:p>
    <w:p w14:paraId="30FA13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C37D7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3FB54D45">
      <w:pPr>
        <w:spacing w:line="600" w:lineRule="exact"/>
        <w:ind w:firstLine="640" w:firstLineChars="20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2023年度一般公共预算财政拨款支出656.46万元，占本年支出合计的</w:t>
      </w:r>
      <w:r>
        <w:rPr>
          <w:rFonts w:hint="eastAsia" w:ascii="仿宋_GB2312" w:eastAsia="仿宋_GB2312"/>
          <w:color w:val="auto"/>
          <w:spacing w:val="0"/>
          <w:sz w:val="32"/>
          <w:szCs w:val="32"/>
          <w:highlight w:val="none"/>
          <w:lang w:val="zh-CN" w:eastAsia="zh-CN"/>
        </w:rPr>
        <w:t>99.57%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增加68.92万元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增长11.73%，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1、人员职务职级变动和工资调整；2、发放上年度绩效考核奖金</w:t>
      </w:r>
      <w:r>
        <w:rPr>
          <w:rFonts w:hint="eastAsia" w:ascii="仿宋_GB2312" w:eastAsia="仿宋_GB2312"/>
          <w:sz w:val="32"/>
          <w:szCs w:val="32"/>
          <w:lang w:eastAsia="zh-CN"/>
        </w:rPr>
        <w:t>；</w:t>
      </w:r>
      <w:r>
        <w:rPr>
          <w:rFonts w:hint="eastAsia" w:ascii="仿宋_GB2312" w:eastAsia="仿宋_GB2312"/>
          <w:sz w:val="32"/>
          <w:szCs w:val="32"/>
        </w:rPr>
        <w:t>3、人员社保和住房公积金基数调整，缴费增加。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573.24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656.46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14.52%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1、人员职务职级变动和工资调整；2、</w:t>
      </w:r>
      <w:r>
        <w:rPr>
          <w:rFonts w:hint="eastAsia" w:ascii="仿宋_GB2312" w:eastAsia="仿宋_GB2312"/>
          <w:sz w:val="32"/>
          <w:szCs w:val="32"/>
          <w:lang w:eastAsia="zh-CN"/>
        </w:rPr>
        <w:t>追加</w:t>
      </w:r>
      <w:r>
        <w:rPr>
          <w:rFonts w:hint="eastAsia" w:ascii="仿宋_GB2312" w:eastAsia="仿宋_GB2312"/>
          <w:sz w:val="32"/>
          <w:szCs w:val="32"/>
        </w:rPr>
        <w:t>上年度绩效考核奖金</w:t>
      </w:r>
      <w:r>
        <w:rPr>
          <w:rFonts w:hint="eastAsia" w:ascii="仿宋_GB2312" w:eastAsia="仿宋_GB2312"/>
          <w:sz w:val="32"/>
          <w:szCs w:val="32"/>
          <w:lang w:eastAsia="zh-CN"/>
        </w:rPr>
        <w:t>；</w:t>
      </w:r>
      <w:r>
        <w:rPr>
          <w:rFonts w:hint="eastAsia" w:ascii="仿宋_GB2312" w:eastAsia="仿宋_GB2312"/>
          <w:sz w:val="32"/>
          <w:szCs w:val="32"/>
        </w:rPr>
        <w:t>3、人员社保和住房公积金基数调整，缴费增加。</w:t>
      </w:r>
    </w:p>
    <w:p w14:paraId="24064B8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4F4078F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87.20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13.28</w:t>
      </w:r>
      <w:r>
        <w:rPr>
          <w:rFonts w:hint="default" w:ascii="仿宋_GB2312" w:hAnsi="Times New Roman" w:eastAsia="仿宋_GB2312" w:cs="Times New Roman"/>
          <w:color w:val="auto"/>
          <w:spacing w:val="0"/>
          <w:kern w:val="2"/>
          <w:sz w:val="32"/>
          <w:szCs w:val="32"/>
          <w:highlight w:val="none"/>
          <w:lang w:val="zh-CN" w:eastAsia="zh-CN" w:bidi="ar-SA"/>
        </w:rPr>
        <w:t>%；</w:t>
      </w:r>
    </w:p>
    <w:p w14:paraId="08A2595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36.94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5.63</w:t>
      </w:r>
      <w:r>
        <w:rPr>
          <w:rFonts w:hint="default" w:ascii="仿宋_GB2312" w:hAnsi="Times New Roman" w:eastAsia="仿宋_GB2312" w:cs="Times New Roman"/>
          <w:color w:val="auto"/>
          <w:spacing w:val="0"/>
          <w:kern w:val="2"/>
          <w:sz w:val="32"/>
          <w:szCs w:val="32"/>
          <w:highlight w:val="none"/>
          <w:lang w:val="zh-CN" w:eastAsia="zh-CN" w:bidi="ar-SA"/>
        </w:rPr>
        <w:t>%；</w:t>
      </w:r>
    </w:p>
    <w:p w14:paraId="6BAAEF0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502.91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76.61</w:t>
      </w:r>
      <w:r>
        <w:rPr>
          <w:rFonts w:hint="default" w:ascii="仿宋_GB2312" w:hAnsi="Times New Roman" w:eastAsia="仿宋_GB2312" w:cs="Times New Roman"/>
          <w:color w:val="auto"/>
          <w:spacing w:val="0"/>
          <w:kern w:val="2"/>
          <w:sz w:val="32"/>
          <w:szCs w:val="32"/>
          <w:highlight w:val="none"/>
          <w:lang w:val="zh-CN" w:eastAsia="zh-CN" w:bidi="ar-SA"/>
        </w:rPr>
        <w:t>%；</w:t>
      </w:r>
    </w:p>
    <w:p w14:paraId="15279AB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29.42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4.48</w:t>
      </w:r>
      <w:r>
        <w:rPr>
          <w:rFonts w:hint="default" w:ascii="仿宋_GB2312" w:hAnsi="Times New Roman" w:eastAsia="仿宋_GB2312" w:cs="Times New Roman"/>
          <w:color w:val="auto"/>
          <w:spacing w:val="0"/>
          <w:kern w:val="2"/>
          <w:sz w:val="32"/>
          <w:szCs w:val="32"/>
          <w:highlight w:val="none"/>
          <w:lang w:val="zh-CN" w:eastAsia="zh-CN" w:bidi="ar-SA"/>
        </w:rPr>
        <w:t>%；</w:t>
      </w:r>
    </w:p>
    <w:p w14:paraId="5EEEE2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704FB18">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1.卫生健康支出（类）行政事业单位医疗（款）行政单位医疗（项）:支出决算数为19.77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9.81%，主要原因是：</w:t>
      </w:r>
      <w:r>
        <w:rPr>
          <w:rFonts w:hint="eastAsia" w:ascii="仿宋_GB2312" w:eastAsia="仿宋_GB2312"/>
          <w:sz w:val="32"/>
          <w:szCs w:val="32"/>
        </w:rPr>
        <w:t>人员工资增长，</w:t>
      </w:r>
      <w:r>
        <w:rPr>
          <w:rFonts w:hint="eastAsia" w:ascii="仿宋_GB2312" w:eastAsia="仿宋_GB2312"/>
          <w:sz w:val="32"/>
          <w:szCs w:val="32"/>
          <w:lang w:val="en-US" w:eastAsia="zh-CN"/>
        </w:rPr>
        <w:t>医保基数增长调整。</w:t>
      </w:r>
    </w:p>
    <w:p w14:paraId="5E4D0E7F">
      <w:pPr>
        <w:ind w:firstLine="640" w:firstLineChars="200"/>
        <w:outlineLvl w:val="1"/>
        <w:rPr>
          <w:rFonts w:hint="eastAsia" w:ascii="仿宋_GB2312" w:eastAsia="仿宋_GB2312"/>
          <w:sz w:val="32"/>
          <w:szCs w:val="32"/>
          <w:lang w:val="en-US" w:eastAsia="zh-CN"/>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2.卫生健康支出（类）行政事业单位医疗（款）公务员医疗补助（项）:支出决算数为17.16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22.53%，主要原因是：</w:t>
      </w:r>
      <w:r>
        <w:rPr>
          <w:rFonts w:hint="eastAsia" w:ascii="仿宋_GB2312" w:eastAsia="仿宋_GB2312"/>
          <w:sz w:val="32"/>
          <w:szCs w:val="32"/>
        </w:rPr>
        <w:t>人员工资增长，</w:t>
      </w:r>
      <w:r>
        <w:rPr>
          <w:rFonts w:hint="eastAsia" w:ascii="仿宋_GB2312" w:eastAsia="仿宋_GB2312"/>
          <w:sz w:val="32"/>
          <w:szCs w:val="32"/>
          <w:lang w:val="en-US" w:eastAsia="zh-CN"/>
        </w:rPr>
        <w:t>医保基数增长调整。</w:t>
      </w:r>
    </w:p>
    <w:p w14:paraId="6F6F298B">
      <w:pPr>
        <w:ind w:firstLine="640" w:firstLineChars="200"/>
        <w:outlineLvl w:val="1"/>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3.自然资源海洋气象等支出（类）自然资源事务（款）其他自然资源事务支出（项）:支出决算数为139.41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0.30%，主要原因是：</w:t>
      </w:r>
      <w:r>
        <w:rPr>
          <w:rFonts w:hint="eastAsia" w:ascii="仿宋_GB2312" w:eastAsia="仿宋_GB2312"/>
          <w:sz w:val="32"/>
          <w:szCs w:val="32"/>
          <w:lang w:val="en-US" w:eastAsia="zh-CN"/>
        </w:rPr>
        <w:t>卫片执法业务增加，执法费用增长。</w:t>
      </w:r>
    </w:p>
    <w:p w14:paraId="62D69258">
      <w:pPr>
        <w:ind w:firstLine="640" w:firstLineChars="200"/>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4.自然资源海洋气象等支出（类）自然资源事务（款）行政运行（项）:支出决算数为363.50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28.43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8.48%，主要原因是：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w:t>
      </w:r>
    </w:p>
    <w:p w14:paraId="558F1AD3">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5.住房保障支出（类）住房改革支出（款）住房公积金（项）:支出决算数为29.42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18.11%，主要原因是：</w:t>
      </w:r>
      <w:r>
        <w:rPr>
          <w:rFonts w:hint="eastAsia" w:ascii="仿宋_GB2312" w:eastAsia="仿宋_GB2312"/>
          <w:sz w:val="32"/>
          <w:szCs w:val="32"/>
        </w:rPr>
        <w:t>人员工资增长，住房公积金基数增长调整。</w:t>
      </w:r>
    </w:p>
    <w:p w14:paraId="71F5C16B">
      <w:pPr>
        <w:ind w:firstLine="640" w:firstLineChars="200"/>
        <w:outlineLvl w:val="1"/>
        <w:rPr>
          <w:rFonts w:hint="default" w:ascii="仿宋_GB2312" w:eastAsia="仿宋_GB2312"/>
          <w:sz w:val="32"/>
          <w:szCs w:val="32"/>
          <w:lang w:val="en-US" w:eastAsia="zh-CN"/>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6.社会保障和就业支出（类）行政事业单位养老支出（款）行政单位离退休（项）:支出决算数为18.88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19.10%，主要原因是：</w:t>
      </w:r>
      <w:r>
        <w:rPr>
          <w:rFonts w:hint="eastAsia" w:ascii="仿宋_GB2312" w:eastAsia="仿宋_GB2312"/>
          <w:sz w:val="32"/>
          <w:szCs w:val="32"/>
          <w:lang w:val="en-US" w:eastAsia="zh-CN"/>
        </w:rPr>
        <w:t>退休人员的医疗费财政收回，故行政单位离退休减少。</w:t>
      </w:r>
    </w:p>
    <w:p w14:paraId="48FFCDE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val="en-US" w:eastAsia="zh-CN"/>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7.社会保障和就业支出（类）行政事业单位养老支出（款）机关事业单位职业年金缴费支出（项）:支出决算数为29.09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29.09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lang w:val="en-US" w:eastAsia="zh-CN"/>
        </w:rPr>
        <w:t>在职人员死亡，职业年金支出增加。</w:t>
      </w:r>
    </w:p>
    <w:p w14:paraId="5C3858C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8.社会保障和就业支出（类）行政事业单位养老支出（款）机关事业单位基本养老保险缴费支出（项）:支出决算数为39.23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18.11%，主要原因是：</w:t>
      </w:r>
      <w:r>
        <w:rPr>
          <w:rFonts w:hint="eastAsia" w:ascii="仿宋_GB2312" w:eastAsia="仿宋_GB2312"/>
          <w:sz w:val="32"/>
          <w:szCs w:val="32"/>
        </w:rPr>
        <w:t>人员工资增长，社保基数增长</w:t>
      </w:r>
      <w:r>
        <w:rPr>
          <w:rFonts w:hint="eastAsia" w:ascii="仿宋_GB2312" w:eastAsia="仿宋_GB2312"/>
          <w:sz w:val="32"/>
          <w:szCs w:val="32"/>
          <w:lang w:val="en-US" w:eastAsia="zh-CN"/>
        </w:rPr>
        <w:t>调整</w:t>
      </w:r>
      <w:r>
        <w:rPr>
          <w:rFonts w:hint="eastAsia" w:ascii="仿宋_GB2312" w:eastAsia="仿宋_GB2312"/>
          <w:sz w:val="32"/>
          <w:szCs w:val="32"/>
          <w:lang w:eastAsia="zh-CN"/>
        </w:rPr>
        <w:t>。</w:t>
      </w:r>
    </w:p>
    <w:p w14:paraId="310207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5059691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517.05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487.81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其他工资福利支出、退休费、抚恤金、生活补助、医疗费补助、奖励金、其他对个人和家庭的补助。</w:t>
      </w:r>
    </w:p>
    <w:p w14:paraId="3DC5E68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29.24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办公费、手续费、邮电费、取暖费、物业管理费、差旅费、维修（护）费、工会经费、福利费、其他交通费用、其他商品和服务支出。</w:t>
      </w:r>
    </w:p>
    <w:p w14:paraId="2FBB46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1B0EBCC">
      <w:pPr>
        <w:ind w:firstLine="640" w:firstLineChars="200"/>
        <w:rPr>
          <w:rFonts w:ascii="仿宋_GB2312" w:eastAsia="仿宋_GB2312"/>
          <w:sz w:val="32"/>
          <w:szCs w:val="32"/>
        </w:rPr>
      </w:pPr>
      <w:bookmarkStart w:id="18" w:name="_Toc5810"/>
      <w:bookmarkStart w:id="19" w:name="_Toc7927"/>
      <w:r>
        <w:rPr>
          <w:rFonts w:hint="eastAsia" w:ascii="仿宋_GB2312" w:eastAsia="仿宋_GB2312"/>
          <w:color w:val="auto"/>
          <w:sz w:val="32"/>
          <w:szCs w:val="32"/>
          <w:highlight w:val="none"/>
          <w:lang w:val="zh-CN" w:eastAsia="zh-CN"/>
        </w:rPr>
        <w:t>2023</w:t>
      </w:r>
      <w:r>
        <w:rPr>
          <w:rFonts w:hint="eastAsia" w:ascii="仿宋_GB2312" w:eastAsia="仿宋_GB2312"/>
          <w:color w:val="auto"/>
          <w:sz w:val="32"/>
          <w:szCs w:val="32"/>
          <w:highlight w:val="none"/>
          <w:lang w:val="en-US" w:eastAsia="zh-CN"/>
        </w:rPr>
        <w:t>年</w:t>
      </w:r>
      <w:r>
        <w:rPr>
          <w:rFonts w:hint="eastAsia" w:ascii="仿宋_GB2312" w:eastAsia="仿宋_GB2312"/>
          <w:sz w:val="32"/>
          <w:szCs w:val="32"/>
        </w:rPr>
        <w:t>度财政拨款“三公”经费支出决算</w:t>
      </w:r>
      <w:r>
        <w:rPr>
          <w:rFonts w:ascii="仿宋_GB2312" w:eastAsia="仿宋_GB2312"/>
          <w:sz w:val="32"/>
          <w:szCs w:val="32"/>
        </w:rPr>
        <w:t>0.00</w:t>
      </w:r>
      <w:r>
        <w:rPr>
          <w:rFonts w:hint="eastAsia" w:ascii="仿宋_GB2312" w:eastAsia="仿宋_GB2312"/>
          <w:sz w:val="32"/>
          <w:szCs w:val="32"/>
        </w:rPr>
        <w:t>万元，比上年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。具体情况如下：</w:t>
      </w:r>
    </w:p>
    <w:p w14:paraId="092452BA">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14:paraId="7291655C">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中固定资产车辆8</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原因是：我单位车辆不属于公务用车，使用其他交通费，支付燃油及维修费。</w:t>
      </w:r>
    </w:p>
    <w:p w14:paraId="05501D7B">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14:paraId="3D65E618">
      <w:pPr>
        <w:ind w:firstLine="640" w:firstLineChars="200"/>
        <w:rPr>
          <w:rFonts w:ascii="仿宋_GB2312" w:eastAsia="仿宋_GB2312"/>
          <w:sz w:val="32"/>
          <w:szCs w:val="32"/>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14:paraId="67B32D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71C006B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32304D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5AC9FEA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C20CB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6F800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79D791C6">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哈密市国土资源执法监察支队（行政单位和参照公务员法管理事业单位）机关运行经费支出29.24万元，比上年减少4.20万元，下降12.55%，主要原因是</w:t>
      </w:r>
      <w:r>
        <w:rPr>
          <w:rFonts w:hint="eastAsia" w:eastAsia="仿宋_GB2312" w:cs="Times New Roman"/>
          <w:color w:val="auto"/>
          <w:sz w:val="32"/>
          <w:szCs w:val="32"/>
          <w:highlight w:val="none"/>
          <w:lang w:val="en-US" w:eastAsia="zh-CN"/>
        </w:rPr>
        <w:t>：按相关规定厉行节约，机关运行费用减少</w:t>
      </w:r>
      <w:r>
        <w:rPr>
          <w:rFonts w:hint="eastAsia" w:ascii="Times New Roman" w:hAnsi="Times New Roman" w:eastAsia="仿宋_GB2312" w:cs="Times New Roman"/>
          <w:color w:val="auto"/>
          <w:sz w:val="32"/>
          <w:szCs w:val="32"/>
          <w:highlight w:val="none"/>
          <w:lang w:val="en-US" w:eastAsia="zh-CN"/>
        </w:rPr>
        <w:t>。</w:t>
      </w:r>
    </w:p>
    <w:p w14:paraId="49431D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1590E9F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6FE3554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7529E6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4EAD3F6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698.96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屋905.31平方米，价值326.79万元。车辆8辆，价值191.18万元，其中：副部（省）级及以上领导用车0辆、主要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用车0辆、机要通信用车0辆、应急保障用车0辆、执法执勤用车5辆、特种专业技术用车0辆、离退休干部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用车0辆、其他用车3辆，其他用车主要是：</w:t>
      </w:r>
      <w:r>
        <w:rPr>
          <w:rFonts w:hint="eastAsia" w:ascii="仿宋_GB2312" w:eastAsia="仿宋_GB2312"/>
          <w:sz w:val="32"/>
          <w:szCs w:val="32"/>
        </w:rPr>
        <w:t>补充执法车辆不足，主要车辆类型是皮卡车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3F5DE6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7676E356">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我部门</w:t>
      </w:r>
      <w:bookmarkStart w:id="48" w:name="_GoBack"/>
      <w:bookmarkEnd w:id="48"/>
      <w:r>
        <w:rPr>
          <w:rFonts w:hint="eastAsia" w:ascii="仿宋_GB2312" w:eastAsia="仿宋_GB2312"/>
          <w:sz w:val="32"/>
          <w:szCs w:val="32"/>
          <w:lang w:eastAsia="zh-CN"/>
        </w:rPr>
        <w:t>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14:paraId="5D4AD9D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1A15F23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授予中小企业合同金额、授予小微企业合同金额为0.00万元，主要原因是：我部门为自治区垂直管理单位，属于自治区外派机构实行驻地采购方式，不在自治区集中采购范围内，所以无政府采购相关情况。</w:t>
      </w:r>
      <w:bookmarkStart w:id="30" w:name="_Toc24143"/>
      <w:bookmarkStart w:id="31" w:name="_Toc3250"/>
    </w:p>
    <w:p w14:paraId="4F17129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3B00F46C">
      <w:pPr>
        <w:keepNext w:val="0"/>
        <w:keepLines w:val="0"/>
        <w:pageBreakBefore w:val="0"/>
        <w:widowControl w:val="0"/>
        <w:kinsoku/>
        <w:wordWrap/>
        <w:overflowPunct/>
        <w:topLinePunct w:val="0"/>
        <w:bidi w:val="0"/>
        <w:adjustRightInd/>
        <w:snapToGrid/>
        <w:spacing w:line="240" w:lineRule="auto"/>
        <w:jc w:val="left"/>
        <w:textAlignment w:val="auto"/>
        <w:rPr>
          <w:rFonts w:hint="eastAsia" w:ascii="仿宋_GB2312" w:hAnsi="仿宋_GB2312" w:eastAsia="仿宋_GB2312" w:cs="仿宋_GB2312"/>
          <w:color w:val="auto"/>
          <w:kern w:val="0"/>
          <w:sz w:val="32"/>
          <w:szCs w:val="32"/>
          <w:highlight w:val="none"/>
          <w:lang w:val="en-US" w:eastAsia="zh-CN"/>
        </w:rPr>
      </w:pPr>
    </w:p>
    <w:p w14:paraId="7E8C1827">
      <w:pPr>
        <w:keepNext w:val="0"/>
        <w:keepLines w:val="0"/>
        <w:pageBreakBefore w:val="0"/>
        <w:widowControl w:val="0"/>
        <w:kinsoku/>
        <w:wordWrap/>
        <w:overflowPunct/>
        <w:topLinePunct w:val="0"/>
        <w:autoSpaceDE/>
        <w:autoSpaceDN/>
        <w:bidi w:val="0"/>
        <w:adjustRightInd/>
        <w:snapToGrid/>
        <w:spacing w:line="240" w:lineRule="auto"/>
        <w:ind w:firstLine="2240" w:firstLineChars="70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6EBBD1C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7F05508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31490FD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4EF210C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7768FB7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0DCD68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578029F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1BFC4C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EAD4D8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318B5A5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E169D9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2E81B8F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5F789A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5F84D70C">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275045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91AC9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15875E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2BAE435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5C308E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3682C1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2AF4C8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6336B1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7851C1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3A93FA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16B254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4F067C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6EF9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FA5EA1">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CFA5EA1">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D46B7F"/>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7C67EAA"/>
    <w:rsid w:val="08145C21"/>
    <w:rsid w:val="083640B7"/>
    <w:rsid w:val="08422688"/>
    <w:rsid w:val="085854ED"/>
    <w:rsid w:val="0879188F"/>
    <w:rsid w:val="08A0354D"/>
    <w:rsid w:val="08CD4C49"/>
    <w:rsid w:val="09114954"/>
    <w:rsid w:val="095A5B83"/>
    <w:rsid w:val="096466E3"/>
    <w:rsid w:val="0968304D"/>
    <w:rsid w:val="09AF3D17"/>
    <w:rsid w:val="09FD79B7"/>
    <w:rsid w:val="0A7809B7"/>
    <w:rsid w:val="0A7B4867"/>
    <w:rsid w:val="0A840954"/>
    <w:rsid w:val="0A9928ED"/>
    <w:rsid w:val="0B0A4372"/>
    <w:rsid w:val="0B61769D"/>
    <w:rsid w:val="0B8C3ECC"/>
    <w:rsid w:val="0B9C639D"/>
    <w:rsid w:val="0BB052B2"/>
    <w:rsid w:val="0BD33FFC"/>
    <w:rsid w:val="0BE97AC1"/>
    <w:rsid w:val="0BEF17A0"/>
    <w:rsid w:val="0C1C4780"/>
    <w:rsid w:val="0C3613A3"/>
    <w:rsid w:val="0C5E519C"/>
    <w:rsid w:val="0C6868C5"/>
    <w:rsid w:val="0C7227A7"/>
    <w:rsid w:val="0CA52EE8"/>
    <w:rsid w:val="0CBD6988"/>
    <w:rsid w:val="0CD208AC"/>
    <w:rsid w:val="0D4903E8"/>
    <w:rsid w:val="0D7A4A46"/>
    <w:rsid w:val="0E083CBC"/>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2679C"/>
    <w:rsid w:val="164315EF"/>
    <w:rsid w:val="16557DFE"/>
    <w:rsid w:val="167268FB"/>
    <w:rsid w:val="16D50C50"/>
    <w:rsid w:val="16E120E1"/>
    <w:rsid w:val="17385A05"/>
    <w:rsid w:val="173B3901"/>
    <w:rsid w:val="176747F9"/>
    <w:rsid w:val="17954A6E"/>
    <w:rsid w:val="180059E9"/>
    <w:rsid w:val="184510FD"/>
    <w:rsid w:val="18B87DBA"/>
    <w:rsid w:val="190648B0"/>
    <w:rsid w:val="19071D6C"/>
    <w:rsid w:val="19D26CD4"/>
    <w:rsid w:val="19E60D19"/>
    <w:rsid w:val="1A3E3450"/>
    <w:rsid w:val="1AD807E5"/>
    <w:rsid w:val="1B39345B"/>
    <w:rsid w:val="1BFB2A1F"/>
    <w:rsid w:val="1C015D4A"/>
    <w:rsid w:val="1C290ED5"/>
    <w:rsid w:val="1C317E4F"/>
    <w:rsid w:val="1C472464"/>
    <w:rsid w:val="1C510527"/>
    <w:rsid w:val="1C653650"/>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4E9368A"/>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DF77331"/>
    <w:rsid w:val="2E3D144C"/>
    <w:rsid w:val="2E891204"/>
    <w:rsid w:val="2F3F0A28"/>
    <w:rsid w:val="2FBF7029"/>
    <w:rsid w:val="2FD0187F"/>
    <w:rsid w:val="2FD27414"/>
    <w:rsid w:val="2FFE4BB0"/>
    <w:rsid w:val="300E7B60"/>
    <w:rsid w:val="300F6E18"/>
    <w:rsid w:val="30862F5F"/>
    <w:rsid w:val="314029C9"/>
    <w:rsid w:val="3157252B"/>
    <w:rsid w:val="31C63837"/>
    <w:rsid w:val="31C82E39"/>
    <w:rsid w:val="32601BAD"/>
    <w:rsid w:val="329F6389"/>
    <w:rsid w:val="33151A08"/>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E84624"/>
    <w:rsid w:val="3C242659"/>
    <w:rsid w:val="3C3D4AC1"/>
    <w:rsid w:val="3C96719C"/>
    <w:rsid w:val="3CA72BE8"/>
    <w:rsid w:val="3CE41D53"/>
    <w:rsid w:val="3CF37F8C"/>
    <w:rsid w:val="3CFA5C43"/>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A5292"/>
    <w:rsid w:val="3FED7F8A"/>
    <w:rsid w:val="40094AEF"/>
    <w:rsid w:val="405470BD"/>
    <w:rsid w:val="40794A29"/>
    <w:rsid w:val="40834692"/>
    <w:rsid w:val="41431AD5"/>
    <w:rsid w:val="414B3C0F"/>
    <w:rsid w:val="417C1CE7"/>
    <w:rsid w:val="41900018"/>
    <w:rsid w:val="41944406"/>
    <w:rsid w:val="41CE128F"/>
    <w:rsid w:val="41DA6F12"/>
    <w:rsid w:val="42171FB1"/>
    <w:rsid w:val="434E6957"/>
    <w:rsid w:val="43772A62"/>
    <w:rsid w:val="43BA0E31"/>
    <w:rsid w:val="43C15147"/>
    <w:rsid w:val="43E14DD2"/>
    <w:rsid w:val="43F800E9"/>
    <w:rsid w:val="440D1F75"/>
    <w:rsid w:val="443A7E4B"/>
    <w:rsid w:val="452F5B3A"/>
    <w:rsid w:val="454E7FD2"/>
    <w:rsid w:val="45DF4929"/>
    <w:rsid w:val="46061BDC"/>
    <w:rsid w:val="461404F8"/>
    <w:rsid w:val="46413018"/>
    <w:rsid w:val="464B7E04"/>
    <w:rsid w:val="468041AA"/>
    <w:rsid w:val="468123C6"/>
    <w:rsid w:val="46901EEE"/>
    <w:rsid w:val="469C74D2"/>
    <w:rsid w:val="47445515"/>
    <w:rsid w:val="474B4782"/>
    <w:rsid w:val="47586469"/>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49311B"/>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7B0063"/>
    <w:rsid w:val="7AE952D2"/>
    <w:rsid w:val="7B7272D1"/>
    <w:rsid w:val="7C1A2C6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5554</Words>
  <Characters>6180</Characters>
  <Lines>0</Lines>
  <Paragraphs>0</Paragraphs>
  <TotalTime>0</TotalTime>
  <ScaleCrop>false</ScaleCrop>
  <LinksUpToDate>false</LinksUpToDate>
  <CharactersWithSpaces>6199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2024-09-02T03:28:49Z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