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喀什市国土资源执法监察大队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hint="eastAsia" w:ascii="仿宋_GB2312" w:eastAsia="仿宋_GB2312"/>
          <w:sz w:val="32"/>
          <w:szCs w:val="32"/>
          <w:lang w:val="en-US" w:eastAsia="zh-CN"/>
        </w:rPr>
      </w:pPr>
      <w:bookmarkStart w:id="4" w:name="_Toc31238"/>
      <w:bookmarkStart w:id="5" w:name="_Toc2151"/>
      <w:r>
        <w:rPr>
          <w:rFonts w:hint="eastAsia" w:ascii="仿宋_GB2312" w:eastAsia="仿宋_GB2312"/>
          <w:sz w:val="32"/>
          <w:szCs w:val="32"/>
          <w:lang w:val="en-US" w:eastAsia="zh-CN"/>
        </w:rPr>
        <w:t>喀什市国土资源执法监察大队，为自治区自然资源厅下属四级预算单位，参照公务员法管理的事业单位。实行垂直管理，统一履行喀什市县国土资源执法监察大队职能。</w:t>
      </w:r>
    </w:p>
    <w:p>
      <w:pPr>
        <w:ind w:firstLine="640" w:firstLineChars="200"/>
        <w:jc w:val="left"/>
        <w:rPr>
          <w:rFonts w:hint="eastAsia" w:ascii="仿宋_GB2312" w:eastAsia="仿宋_GB2312"/>
          <w:sz w:val="32"/>
          <w:szCs w:val="32"/>
        </w:rPr>
      </w:pPr>
      <w:bookmarkStart w:id="6" w:name="bookmark3"/>
      <w:bookmarkEnd w:id="6"/>
      <w:r>
        <w:rPr>
          <w:rFonts w:hint="eastAsia" w:ascii="仿宋_GB2312" w:eastAsia="仿宋_GB2312"/>
          <w:sz w:val="32"/>
          <w:szCs w:val="32"/>
          <w:lang w:val="en-US" w:eastAsia="zh-CN"/>
        </w:rPr>
        <w:t>1、</w:t>
      </w:r>
      <w:r>
        <w:rPr>
          <w:rFonts w:hint="eastAsia" w:ascii="仿宋_GB2312" w:eastAsia="仿宋_GB2312"/>
          <w:sz w:val="32"/>
          <w:szCs w:val="32"/>
        </w:rPr>
        <w:t>宣传和贯彻执行国家、自治区有关土地、矿产资源的法律、法规、规章和</w:t>
      </w:r>
      <w:r>
        <w:rPr>
          <w:rFonts w:hint="eastAsia" w:ascii="仿宋_GB2312" w:eastAsia="仿宋_GB2312"/>
          <w:sz w:val="32"/>
          <w:szCs w:val="32"/>
          <w:lang w:eastAsia="zh-CN"/>
        </w:rPr>
        <w:t>制度</w:t>
      </w:r>
      <w:r>
        <w:rPr>
          <w:rFonts w:hint="eastAsia" w:ascii="仿宋_GB2312" w:eastAsia="仿宋_GB2312"/>
          <w:sz w:val="32"/>
          <w:szCs w:val="32"/>
        </w:rPr>
        <w:t>。</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组织和实施对</w:t>
      </w:r>
      <w:r>
        <w:rPr>
          <w:rFonts w:hint="eastAsia" w:ascii="仿宋_GB2312" w:eastAsia="仿宋_GB2312"/>
          <w:sz w:val="32"/>
          <w:szCs w:val="32"/>
          <w:lang w:eastAsia="zh-CN"/>
        </w:rPr>
        <w:t>所辖区</w:t>
      </w:r>
      <w:r>
        <w:rPr>
          <w:rFonts w:hint="eastAsia" w:ascii="仿宋_GB2312" w:eastAsia="仿宋_GB2312"/>
          <w:sz w:val="32"/>
          <w:szCs w:val="32"/>
        </w:rPr>
        <w:t>执行土地、矿产资源法律、法规、规章情况的巡查，及时发现和制止土地、矿产资源违法行为。</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依法组织和实施重大土地、矿产资源违法案件的调查、取证、现场勘验工作，并进行查处。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负责重大土地、矿产资源</w:t>
      </w:r>
      <w:r>
        <w:rPr>
          <w:rFonts w:hint="eastAsia" w:ascii="仿宋_GB2312" w:eastAsia="仿宋_GB2312"/>
          <w:sz w:val="32"/>
          <w:szCs w:val="32"/>
          <w:lang w:eastAsia="zh-CN"/>
        </w:rPr>
        <w:t>卫片</w:t>
      </w:r>
      <w:r>
        <w:rPr>
          <w:rFonts w:hint="eastAsia" w:ascii="仿宋_GB2312" w:eastAsia="仿宋_GB2312"/>
          <w:sz w:val="32"/>
          <w:szCs w:val="32"/>
        </w:rPr>
        <w:t>违法</w:t>
      </w:r>
      <w:r>
        <w:rPr>
          <w:rFonts w:hint="eastAsia" w:ascii="仿宋_GB2312" w:eastAsia="仿宋_GB2312"/>
          <w:sz w:val="32"/>
          <w:szCs w:val="32"/>
          <w:lang w:eastAsia="zh-CN"/>
        </w:rPr>
        <w:t>图</w:t>
      </w:r>
      <w:r>
        <w:rPr>
          <w:rFonts w:hint="eastAsia" w:ascii="仿宋_GB2312" w:eastAsia="仿宋_GB2312"/>
          <w:sz w:val="32"/>
          <w:szCs w:val="32"/>
          <w:lang w:val="en-US" w:eastAsia="zh-CN"/>
        </w:rPr>
        <w:t>斑</w:t>
      </w:r>
      <w:r>
        <w:rPr>
          <w:rFonts w:hint="eastAsia" w:ascii="仿宋_GB2312" w:eastAsia="仿宋_GB2312"/>
          <w:sz w:val="32"/>
          <w:szCs w:val="32"/>
          <w:lang w:eastAsia="zh-CN"/>
        </w:rPr>
        <w:t>的</w:t>
      </w:r>
      <w:r>
        <w:rPr>
          <w:rFonts w:hint="eastAsia" w:ascii="仿宋_GB2312" w:eastAsia="仿宋_GB2312"/>
          <w:sz w:val="32"/>
          <w:szCs w:val="32"/>
        </w:rPr>
        <w:t>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负责</w:t>
      </w:r>
      <w:r>
        <w:rPr>
          <w:rFonts w:hint="eastAsia" w:ascii="仿宋_GB2312" w:eastAsia="仿宋_GB2312"/>
          <w:sz w:val="32"/>
          <w:szCs w:val="32"/>
          <w:lang w:eastAsia="zh-CN"/>
        </w:rPr>
        <w:t>本县</w:t>
      </w:r>
      <w:r>
        <w:rPr>
          <w:rFonts w:hint="eastAsia" w:ascii="仿宋_GB2312" w:eastAsia="仿宋_GB2312"/>
          <w:sz w:val="32"/>
          <w:szCs w:val="32"/>
        </w:rPr>
        <w:t>国土资源执法监察队伍建设，统一管理机构编制、人员、经费。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24" w:firstLineChars="200"/>
        <w:textAlignment w:val="baseline"/>
        <w:rPr>
          <w:rStyle w:val="11"/>
          <w:rFonts w:hint="eastAsia" w:ascii="仿宋" w:hAnsi="仿宋" w:eastAsia="仿宋" w:cs="仿宋"/>
          <w:b w:val="0"/>
          <w:color w:val="auto"/>
          <w:spacing w:val="-4"/>
          <w:sz w:val="32"/>
          <w:szCs w:val="32"/>
          <w:highlight w:val="none"/>
          <w:shd w:val="clear" w:color="auto" w:fill="auto"/>
        </w:rPr>
      </w:pPr>
      <w:r>
        <w:rPr>
          <w:rStyle w:val="11"/>
          <w:rFonts w:hint="eastAsia" w:ascii="仿宋" w:hAnsi="仿宋" w:eastAsia="仿宋" w:cs="仿宋"/>
          <w:b w:val="0"/>
          <w:color w:val="auto"/>
          <w:spacing w:val="-4"/>
          <w:sz w:val="32"/>
          <w:szCs w:val="32"/>
          <w:highlight w:val="none"/>
          <w:shd w:val="clear" w:color="auto" w:fill="auto"/>
          <w:lang w:val="en-US" w:eastAsia="zh-CN"/>
        </w:rPr>
        <w:t>6、</w:t>
      </w:r>
      <w:r>
        <w:rPr>
          <w:rStyle w:val="11"/>
          <w:rFonts w:hint="eastAsia" w:ascii="仿宋" w:hAnsi="仿宋" w:eastAsia="仿宋" w:cs="仿宋"/>
          <w:b w:val="0"/>
          <w:color w:val="auto"/>
          <w:spacing w:val="-4"/>
          <w:sz w:val="32"/>
          <w:szCs w:val="32"/>
          <w:highlight w:val="none"/>
          <w:shd w:val="clear" w:color="auto" w:fill="auto"/>
        </w:rPr>
        <w:t>完成自治区党委、政府和上级国土资源管理部门交办的其他工作。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喀什市国土资源执法监察大队2023年度，实有人数</w:t>
      </w:r>
      <w:r>
        <w:rPr>
          <w:rFonts w:hint="eastAsia" w:ascii="仿宋_GB2312" w:eastAsia="仿宋_GB2312"/>
          <w:sz w:val="32"/>
          <w:szCs w:val="32"/>
          <w:lang w:val="zh-CN"/>
        </w:rPr>
        <w:t>6</w:t>
      </w:r>
      <w:r>
        <w:rPr>
          <w:rFonts w:hint="eastAsia" w:ascii="仿宋_GB2312" w:eastAsia="仿宋_GB2312"/>
          <w:sz w:val="32"/>
          <w:szCs w:val="32"/>
        </w:rPr>
        <w:t>人，其中：在职人员</w:t>
      </w:r>
      <w:r>
        <w:rPr>
          <w:rFonts w:hint="eastAsia" w:ascii="仿宋_GB2312" w:eastAsia="仿宋_GB2312"/>
          <w:sz w:val="32"/>
          <w:szCs w:val="32"/>
          <w:lang w:val="zh-CN"/>
        </w:rPr>
        <w:t>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pPr>
        <w:ind w:firstLine="640" w:firstLineChars="200"/>
        <w:rPr>
          <w:rFonts w:hint="eastAsia" w:ascii="黑体" w:hAnsi="黑体" w:eastAsia="黑体"/>
          <w:sz w:val="32"/>
          <w:szCs w:val="32"/>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lang w:val="en-US" w:eastAsia="zh-CN"/>
        </w:rPr>
        <w:t>1</w:t>
      </w:r>
      <w:r>
        <w:rPr>
          <w:rFonts w:hint="eastAsia" w:ascii="仿宋_GB2312" w:hAnsi="黑体" w:eastAsia="仿宋_GB2312" w:cs="宋体"/>
          <w:bCs/>
          <w:kern w:val="0"/>
          <w:sz w:val="32"/>
          <w:szCs w:val="32"/>
          <w:highlight w:val="none"/>
        </w:rPr>
        <w:t>个处室，分别是：</w:t>
      </w:r>
      <w:r>
        <w:rPr>
          <w:rFonts w:hint="eastAsia" w:ascii="仿宋_GB2312" w:hAnsi="黑体" w:eastAsia="仿宋_GB2312" w:cs="宋体"/>
          <w:bCs/>
          <w:kern w:val="0"/>
          <w:sz w:val="32"/>
          <w:szCs w:val="32"/>
        </w:rPr>
        <w:t>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bookmarkStart w:id="7" w:name="_Toc29374"/>
      <w:bookmarkStart w:id="8" w:name="_Toc3092"/>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7"/>
      <w:bookmarkEnd w:id="8"/>
    </w:p>
    <w:p>
      <w:pPr>
        <w:ind w:firstLine="640" w:firstLineChars="200"/>
        <w:outlineLvl w:val="1"/>
        <w:rPr>
          <w:rFonts w:ascii="黑体" w:hAnsi="黑体" w:eastAsia="黑体" w:cs="宋体"/>
          <w:bCs/>
          <w:kern w:val="0"/>
          <w:sz w:val="32"/>
          <w:szCs w:val="32"/>
        </w:rPr>
      </w:pPr>
      <w:bookmarkStart w:id="9" w:name="_Toc12566"/>
      <w:bookmarkStart w:id="10" w:name="_Toc25314"/>
      <w:r>
        <w:rPr>
          <w:rFonts w:hint="eastAsia" w:ascii="黑体" w:hAnsi="黑体" w:eastAsia="黑体" w:cs="宋体"/>
          <w:bCs/>
          <w:kern w:val="0"/>
          <w:sz w:val="32"/>
          <w:szCs w:val="32"/>
        </w:rPr>
        <w:t>一、收入支出决算总体情况说明</w:t>
      </w:r>
      <w:bookmarkEnd w:id="9"/>
      <w:bookmarkEnd w:id="10"/>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2023年度收入总计163.85万元，其中：本年收入合计163.85万元，使用非财政拨款结余0.00万元，年初结转和结余0.00万元。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2023年度支出总计163.85万元，其中：本年支出合计159.27万元，结余分配0.00万元，年末结转和结余4.58万元。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增加21.49万元</w:t>
      </w:r>
      <w:r>
        <w:rPr>
          <w:rFonts w:hint="eastAsia" w:ascii="仿宋_GB2312" w:eastAsia="仿宋_GB2312"/>
          <w:sz w:val="32"/>
          <w:szCs w:val="32"/>
        </w:rPr>
        <w:t>，</w:t>
      </w:r>
      <w:r>
        <w:rPr>
          <w:rFonts w:hint="eastAsia" w:ascii="仿宋_GB2312" w:eastAsia="仿宋_GB2312"/>
          <w:sz w:val="32"/>
          <w:szCs w:val="32"/>
          <w:lang w:val="zh-CN"/>
        </w:rPr>
        <w:t>增长15.10%</w:t>
      </w:r>
      <w:r>
        <w:rPr>
          <w:rFonts w:hint="eastAsia" w:ascii="仿宋_GB2312" w:eastAsia="仿宋_GB2312"/>
          <w:sz w:val="32"/>
          <w:szCs w:val="32"/>
        </w:rPr>
        <w:t>，主要原因是：人员调标增资，收入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jc w:val="left"/>
        <w:outlineLvl w:val="1"/>
        <w:rPr>
          <w:rFonts w:ascii="黑体" w:hAnsi="黑体" w:eastAsia="黑体" w:cs="宋体"/>
          <w:bCs/>
          <w:kern w:val="0"/>
          <w:sz w:val="32"/>
          <w:szCs w:val="32"/>
        </w:rPr>
      </w:pPr>
      <w:bookmarkStart w:id="11" w:name="_Toc12142"/>
      <w:bookmarkStart w:id="12" w:name="_Toc1979"/>
      <w:r>
        <w:rPr>
          <w:rFonts w:hint="eastAsia" w:ascii="黑体" w:hAnsi="黑体" w:eastAsia="黑体" w:cs="宋体"/>
          <w:bCs/>
          <w:kern w:val="0"/>
          <w:sz w:val="32"/>
          <w:szCs w:val="32"/>
        </w:rPr>
        <w:t>二、收入决算情况说明</w:t>
      </w:r>
      <w:bookmarkEnd w:id="11"/>
      <w:bookmarkEnd w:id="12"/>
    </w:p>
    <w:p>
      <w:pPr>
        <w:ind w:firstLine="640" w:firstLineChars="200"/>
        <w:jc w:val="left"/>
        <w:rPr>
          <w:rFonts w:ascii="仿宋_GB2312" w:eastAsia="仿宋_GB2312"/>
          <w:sz w:val="32"/>
          <w:szCs w:val="32"/>
        </w:rPr>
      </w:pPr>
      <w:r>
        <w:rPr>
          <w:rFonts w:hint="eastAsia" w:ascii="仿宋_GB2312" w:eastAsia="仿宋_GB2312"/>
          <w:sz w:val="32"/>
          <w:szCs w:val="32"/>
        </w:rPr>
        <w:t>本年收入163.85万元，其中：财政拨款收入</w:t>
      </w:r>
      <w:r>
        <w:rPr>
          <w:rFonts w:hint="eastAsia" w:ascii="仿宋_GB2312" w:eastAsia="仿宋_GB2312"/>
          <w:sz w:val="32"/>
          <w:szCs w:val="32"/>
          <w:lang w:val="zh-CN"/>
        </w:rPr>
        <w:t>163.83</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3" w:name="_Toc13201"/>
      <w:bookmarkStart w:id="14" w:name="_Toc27961"/>
      <w:r>
        <w:rPr>
          <w:rFonts w:hint="eastAsia" w:ascii="黑体" w:hAnsi="黑体" w:eastAsia="黑体" w:cs="宋体"/>
          <w:bCs/>
          <w:kern w:val="0"/>
          <w:sz w:val="32"/>
          <w:szCs w:val="32"/>
        </w:rPr>
        <w:t>三、支出决算情况说明</w:t>
      </w:r>
      <w:bookmarkEnd w:id="13"/>
      <w:bookmarkEnd w:id="14"/>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本年支出159.27万元，其中：基本支出122.85万元，占77.13%；项目支出36.42万元，占22.87%；上缴上级支出0.00万元，占0.00%；经营支出0.00万元，占0.00%；对附属单位补助支出0.00万元，占0.00%。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5" w:name="_Toc4393"/>
      <w:bookmarkStart w:id="16" w:name="_Toc26564"/>
      <w:r>
        <w:rPr>
          <w:rFonts w:hint="eastAsia" w:ascii="黑体" w:hAnsi="黑体" w:eastAsia="黑体" w:cs="宋体"/>
          <w:bCs/>
          <w:kern w:val="0"/>
          <w:sz w:val="32"/>
          <w:szCs w:val="32"/>
        </w:rPr>
        <w:t>四、财政拨款收入支出决算总体情况说明</w:t>
      </w:r>
      <w:bookmarkEnd w:id="15"/>
      <w:bookmarkEnd w:id="16"/>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163.83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163.83</w:t>
      </w:r>
      <w:r>
        <w:rPr>
          <w:rFonts w:hint="eastAsia" w:ascii="仿宋_GB2312" w:eastAsia="仿宋_GB2312"/>
          <w:sz w:val="32"/>
          <w:szCs w:val="32"/>
        </w:rPr>
        <w:t>万元。财政拨款支出总计</w:t>
      </w:r>
      <w:r>
        <w:rPr>
          <w:rFonts w:hint="eastAsia" w:ascii="仿宋_GB2312" w:eastAsia="仿宋_GB2312"/>
          <w:sz w:val="32"/>
          <w:szCs w:val="32"/>
          <w:lang w:val="zh-CN"/>
        </w:rPr>
        <w:t>163.83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4.58</w:t>
      </w:r>
      <w:r>
        <w:rPr>
          <w:rFonts w:hint="eastAsia" w:ascii="仿宋_GB2312" w:eastAsia="仿宋_GB2312"/>
          <w:sz w:val="32"/>
          <w:szCs w:val="32"/>
        </w:rPr>
        <w:t>万元，本年财政拨款支出</w:t>
      </w:r>
      <w:r>
        <w:rPr>
          <w:rFonts w:hint="eastAsia" w:ascii="仿宋_GB2312" w:eastAsia="仿宋_GB2312"/>
          <w:sz w:val="32"/>
          <w:szCs w:val="32"/>
          <w:lang w:val="zh-CN"/>
        </w:rPr>
        <w:t>159.25</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增加21.53万元</w:t>
      </w:r>
      <w:r>
        <w:rPr>
          <w:rFonts w:hint="eastAsia" w:ascii="仿宋_GB2312" w:eastAsia="仿宋_GB2312"/>
          <w:sz w:val="32"/>
          <w:szCs w:val="32"/>
        </w:rPr>
        <w:t>，</w:t>
      </w:r>
      <w:r>
        <w:rPr>
          <w:rFonts w:hint="eastAsia" w:ascii="仿宋_GB2312" w:eastAsia="仿宋_GB2312"/>
          <w:sz w:val="32"/>
          <w:szCs w:val="32"/>
          <w:lang w:val="zh-CN"/>
        </w:rPr>
        <w:t>增长15.13%，</w:t>
      </w:r>
      <w:r>
        <w:rPr>
          <w:rFonts w:hint="eastAsia" w:ascii="仿宋_GB2312" w:eastAsia="仿宋_GB2312"/>
          <w:sz w:val="32"/>
          <w:szCs w:val="32"/>
        </w:rPr>
        <w:t>主要原因是：人员调标增资，收入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151.42</w:t>
      </w:r>
      <w:r>
        <w:rPr>
          <w:rFonts w:hint="eastAsia" w:ascii="仿宋_GB2312" w:eastAsia="仿宋_GB2312"/>
          <w:sz w:val="32"/>
          <w:szCs w:val="32"/>
        </w:rPr>
        <w:t>万元，决算数</w:t>
      </w:r>
      <w:r>
        <w:rPr>
          <w:rFonts w:hint="eastAsia" w:ascii="仿宋_GB2312" w:eastAsia="仿宋_GB2312"/>
          <w:sz w:val="32"/>
          <w:szCs w:val="32"/>
          <w:lang w:val="zh-CN"/>
        </w:rPr>
        <w:t>163.83</w:t>
      </w:r>
      <w:r>
        <w:rPr>
          <w:rFonts w:hint="eastAsia" w:ascii="仿宋_GB2312" w:eastAsia="仿宋_GB2312"/>
          <w:sz w:val="32"/>
          <w:szCs w:val="32"/>
        </w:rPr>
        <w:t>万元，预决算差异率8.20%，主要原因是：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7" w:name="_Toc20360"/>
      <w:bookmarkStart w:id="18" w:name="_Toc13833"/>
      <w:r>
        <w:rPr>
          <w:rFonts w:hint="eastAsia" w:ascii="黑体" w:hAnsi="黑体" w:eastAsia="黑体" w:cs="宋体"/>
          <w:bCs/>
          <w:kern w:val="0"/>
          <w:sz w:val="32"/>
          <w:szCs w:val="32"/>
        </w:rPr>
        <w:t>五、一般公共预算财政拨款支出决算情况说明</w:t>
      </w:r>
      <w:bookmarkEnd w:id="17"/>
      <w:bookmarkEnd w:id="18"/>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2023年度一般公共预算财政拨款支出159.25万元，占本年支出合计的</w:t>
      </w:r>
      <w:r>
        <w:rPr>
          <w:rFonts w:hint="eastAsia" w:ascii="仿宋_GB2312" w:eastAsia="仿宋_GB2312"/>
          <w:sz w:val="32"/>
          <w:szCs w:val="32"/>
          <w:lang w:val="zh-CN"/>
        </w:rPr>
        <w:t>99.99%</w:t>
      </w:r>
      <w:r>
        <w:rPr>
          <w:rFonts w:hint="eastAsia" w:ascii="仿宋_GB2312" w:eastAsia="仿宋_GB2312"/>
          <w:sz w:val="32"/>
          <w:szCs w:val="32"/>
        </w:rPr>
        <w:t>。与上年相比，</w:t>
      </w:r>
      <w:r>
        <w:rPr>
          <w:rFonts w:hint="eastAsia" w:ascii="仿宋_GB2312" w:eastAsia="仿宋_GB2312"/>
          <w:sz w:val="32"/>
          <w:szCs w:val="32"/>
          <w:lang w:val="zh-CN"/>
        </w:rPr>
        <w:t>增加16.95万元</w:t>
      </w:r>
      <w:r>
        <w:rPr>
          <w:rFonts w:hint="eastAsia" w:ascii="仿宋_GB2312" w:eastAsia="仿宋_GB2312"/>
          <w:sz w:val="32"/>
          <w:szCs w:val="32"/>
        </w:rPr>
        <w:t>，</w:t>
      </w:r>
      <w:r>
        <w:rPr>
          <w:rFonts w:hint="eastAsia" w:ascii="仿宋_GB2312" w:eastAsia="仿宋_GB2312"/>
          <w:sz w:val="32"/>
          <w:szCs w:val="32"/>
          <w:lang w:val="zh-CN"/>
        </w:rPr>
        <w:t>增长11.91%，</w:t>
      </w:r>
      <w:r>
        <w:rPr>
          <w:rFonts w:hint="eastAsia" w:ascii="仿宋_GB2312" w:eastAsia="仿宋_GB2312"/>
          <w:sz w:val="32"/>
          <w:szCs w:val="32"/>
        </w:rPr>
        <w:t>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151.42</w:t>
      </w:r>
      <w:r>
        <w:rPr>
          <w:rFonts w:hint="eastAsia" w:ascii="仿宋_GB2312" w:eastAsia="仿宋_GB2312"/>
          <w:sz w:val="32"/>
          <w:szCs w:val="32"/>
        </w:rPr>
        <w:t>万元，决算数</w:t>
      </w:r>
      <w:r>
        <w:rPr>
          <w:rFonts w:hint="eastAsia" w:ascii="仿宋_GB2312" w:eastAsia="仿宋_GB2312"/>
          <w:sz w:val="32"/>
          <w:szCs w:val="32"/>
          <w:lang w:val="zh-CN"/>
        </w:rPr>
        <w:t>159.25</w:t>
      </w:r>
      <w:r>
        <w:rPr>
          <w:rFonts w:hint="eastAsia" w:ascii="仿宋_GB2312" w:eastAsia="仿宋_GB2312"/>
          <w:sz w:val="32"/>
          <w:szCs w:val="32"/>
        </w:rPr>
        <w:t>万元，预决算差异率</w:t>
      </w:r>
      <w:r>
        <w:rPr>
          <w:rFonts w:hint="eastAsia" w:ascii="仿宋_GB2312" w:eastAsia="仿宋_GB2312"/>
          <w:sz w:val="32"/>
          <w:szCs w:val="32"/>
          <w:lang w:val="zh-CN"/>
        </w:rPr>
        <w:t>5.17%</w:t>
      </w:r>
      <w:r>
        <w:rPr>
          <w:rFonts w:hint="eastAsia" w:ascii="仿宋_GB2312" w:eastAsia="仿宋_GB2312"/>
          <w:sz w:val="32"/>
          <w:szCs w:val="32"/>
        </w:rPr>
        <w:t>，主要原因是：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10.52</w:t>
      </w:r>
      <w:r>
        <w:rPr>
          <w:rFonts w:ascii="仿宋_GB2312" w:eastAsia="仿宋_GB2312"/>
          <w:kern w:val="2"/>
          <w:sz w:val="32"/>
          <w:szCs w:val="32"/>
          <w:lang w:val="zh-CN"/>
        </w:rPr>
        <w:t>万元，占</w:t>
      </w:r>
      <w:r>
        <w:rPr>
          <w:rFonts w:hint="eastAsia" w:ascii="仿宋_GB2312" w:eastAsia="仿宋_GB2312"/>
          <w:kern w:val="2"/>
          <w:sz w:val="32"/>
          <w:szCs w:val="32"/>
          <w:lang w:val="zh-CN"/>
        </w:rPr>
        <w:t>6.61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10.72</w:t>
      </w:r>
      <w:r>
        <w:rPr>
          <w:rFonts w:ascii="仿宋_GB2312" w:eastAsia="仿宋_GB2312"/>
          <w:kern w:val="2"/>
          <w:sz w:val="32"/>
          <w:szCs w:val="32"/>
          <w:lang w:val="zh-CN"/>
        </w:rPr>
        <w:t>万元，占</w:t>
      </w:r>
      <w:r>
        <w:rPr>
          <w:rFonts w:hint="eastAsia" w:ascii="仿宋_GB2312" w:eastAsia="仿宋_GB2312"/>
          <w:kern w:val="2"/>
          <w:sz w:val="32"/>
          <w:szCs w:val="32"/>
          <w:lang w:val="zh-CN"/>
        </w:rPr>
        <w:t>6.73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129.44</w:t>
      </w:r>
      <w:r>
        <w:rPr>
          <w:rFonts w:ascii="仿宋_GB2312" w:eastAsia="仿宋_GB2312"/>
          <w:kern w:val="2"/>
          <w:sz w:val="32"/>
          <w:szCs w:val="32"/>
          <w:lang w:val="zh-CN"/>
        </w:rPr>
        <w:t>万元，占</w:t>
      </w:r>
      <w:r>
        <w:rPr>
          <w:rFonts w:hint="eastAsia" w:ascii="仿宋_GB2312" w:eastAsia="仿宋_GB2312"/>
          <w:kern w:val="2"/>
          <w:sz w:val="32"/>
          <w:szCs w:val="32"/>
          <w:lang w:val="zh-CN"/>
        </w:rPr>
        <w:t>81.28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8.57</w:t>
      </w:r>
      <w:r>
        <w:rPr>
          <w:rFonts w:ascii="仿宋_GB2312" w:eastAsia="仿宋_GB2312"/>
          <w:kern w:val="2"/>
          <w:sz w:val="32"/>
          <w:szCs w:val="32"/>
          <w:lang w:val="zh-CN"/>
        </w:rPr>
        <w:t>万元，占</w:t>
      </w:r>
      <w:r>
        <w:rPr>
          <w:rFonts w:hint="eastAsia" w:ascii="仿宋_GB2312" w:eastAsia="仿宋_GB2312"/>
          <w:kern w:val="2"/>
          <w:sz w:val="32"/>
          <w:szCs w:val="32"/>
          <w:lang w:val="zh-CN"/>
        </w:rPr>
        <w:t>5.38</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eastAsia="仿宋_GB2312"/>
          <w:sz w:val="32"/>
          <w:szCs w:val="32"/>
        </w:rPr>
        <w:t>1.卫生健康支出（类）行政事业单位医疗（款）行政单位医疗（项）:支出决算数为5.72万元，比上年决算增加2.05万元，增长55.88%，主要原因是：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eastAsia="zh-CN"/>
        </w:rPr>
        <w:t>，</w:t>
      </w:r>
      <w:r>
        <w:rPr>
          <w:rFonts w:hint="eastAsia" w:ascii="仿宋_GB2312" w:eastAsia="仿宋_GB2312"/>
          <w:sz w:val="32"/>
          <w:szCs w:val="32"/>
          <w:lang w:val="en-US" w:eastAsia="zh-CN"/>
        </w:rPr>
        <w:t>医保基数调增支出</w:t>
      </w:r>
      <w:r>
        <w:rPr>
          <w:rFonts w:hint="eastAsia" w:ascii="仿宋_GB2312" w:eastAsia="仿宋_GB2312"/>
          <w:sz w:val="32"/>
          <w:szCs w:val="32"/>
        </w:rPr>
        <w:t>增加。</w:t>
      </w:r>
    </w:p>
    <w:p>
      <w:pPr>
        <w:ind w:firstLine="640" w:firstLineChars="200"/>
        <w:jc w:val="left"/>
        <w:rPr>
          <w:rFonts w:ascii="仿宋_GB2312" w:eastAsia="仿宋_GB2312"/>
          <w:sz w:val="32"/>
          <w:szCs w:val="32"/>
        </w:rPr>
      </w:pPr>
      <w:r>
        <w:rPr>
          <w:rFonts w:hint="eastAsia" w:eastAsia="仿宋_GB2312"/>
          <w:sz w:val="32"/>
          <w:szCs w:val="32"/>
        </w:rPr>
        <w:t>2.卫生健康支出（类）行政事业单位医疗（款）公务员医疗补助（项）:支出决算数为5.00万元，比上年决算增加2.15万元，增长75.17%，主要原因是：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eastAsia="zh-CN"/>
        </w:rPr>
        <w:t>，</w:t>
      </w:r>
      <w:r>
        <w:rPr>
          <w:rFonts w:hint="eastAsia" w:ascii="仿宋_GB2312" w:eastAsia="仿宋_GB2312"/>
          <w:sz w:val="32"/>
          <w:szCs w:val="32"/>
          <w:lang w:val="en-US" w:eastAsia="zh-CN"/>
        </w:rPr>
        <w:t>医保基数调增支出</w:t>
      </w:r>
      <w:r>
        <w:rPr>
          <w:rFonts w:hint="eastAsia" w:ascii="仿宋_GB2312" w:eastAsia="仿宋_GB2312"/>
          <w:sz w:val="32"/>
          <w:szCs w:val="32"/>
        </w:rPr>
        <w:t>增加。</w:t>
      </w:r>
    </w:p>
    <w:p>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3.自然资源海洋气象等支出（类）自然资源事务（款）其他自然资源事务支出（项）:支出决算数为36.42万元，比上年决算减少11.07万元，下降23.31%，主要原因是：</w:t>
      </w:r>
      <w:r>
        <w:rPr>
          <w:rFonts w:hint="eastAsia" w:eastAsia="仿宋_GB2312"/>
          <w:sz w:val="32"/>
          <w:szCs w:val="32"/>
          <w:lang w:val="zh-CN"/>
        </w:rPr>
        <w:t>执法办案成本降低，支出减少。</w:t>
      </w:r>
    </w:p>
    <w:p>
      <w:pPr>
        <w:ind w:firstLine="640" w:firstLineChars="200"/>
        <w:jc w:val="left"/>
        <w:rPr>
          <w:rFonts w:ascii="仿宋_GB2312" w:eastAsia="仿宋_GB2312"/>
          <w:sz w:val="32"/>
          <w:szCs w:val="32"/>
        </w:rPr>
      </w:pPr>
      <w:r>
        <w:rPr>
          <w:rFonts w:hint="eastAsia" w:eastAsia="仿宋_GB2312"/>
          <w:sz w:val="32"/>
          <w:szCs w:val="32"/>
        </w:rPr>
        <w:t>4.自然资源海洋气象等支出（类）自然资源事务（款）行政运行（项）:支出决算数为93.01万元，比上年决算增加15.91万元，增长20.64%，主要原因是：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jc w:val="left"/>
        <w:rPr>
          <w:rFonts w:hint="eastAsia" w:ascii="仿宋_GB2312" w:eastAsia="仿宋_GB2312"/>
          <w:sz w:val="32"/>
          <w:szCs w:val="32"/>
        </w:rPr>
      </w:pPr>
      <w:r>
        <w:rPr>
          <w:rFonts w:hint="eastAsia" w:eastAsia="仿宋_GB2312"/>
          <w:sz w:val="32"/>
          <w:szCs w:val="32"/>
        </w:rPr>
        <w:t>5.住房保障支出（类）住房改革支出（款）住房公积金（项）:支出决算数为8.57万元，比上年决算增加3.52万元，增长69.55%，主要原因是：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eastAsia="zh-CN"/>
        </w:rPr>
        <w:t>，</w:t>
      </w:r>
      <w:r>
        <w:rPr>
          <w:rFonts w:hint="eastAsia" w:eastAsia="仿宋_GB2312"/>
          <w:sz w:val="32"/>
          <w:szCs w:val="32"/>
        </w:rPr>
        <w:t>住房公积金</w:t>
      </w:r>
      <w:r>
        <w:rPr>
          <w:rFonts w:hint="eastAsia" w:ascii="仿宋_GB2312" w:eastAsia="仿宋_GB2312"/>
          <w:sz w:val="32"/>
          <w:szCs w:val="32"/>
          <w:lang w:val="en-US" w:eastAsia="zh-CN"/>
        </w:rPr>
        <w:t>基数调增支出</w:t>
      </w:r>
      <w:r>
        <w:rPr>
          <w:rFonts w:hint="eastAsia" w:ascii="仿宋_GB2312" w:eastAsia="仿宋_GB2312"/>
          <w:sz w:val="32"/>
          <w:szCs w:val="32"/>
        </w:rPr>
        <w:t>增加。</w:t>
      </w:r>
    </w:p>
    <w:p>
      <w:pPr>
        <w:ind w:firstLine="640" w:firstLineChars="200"/>
        <w:jc w:val="left"/>
        <w:rPr>
          <w:rFonts w:ascii="仿宋_GB2312" w:eastAsia="仿宋_GB2312"/>
          <w:sz w:val="32"/>
          <w:szCs w:val="32"/>
        </w:rPr>
      </w:pPr>
      <w:r>
        <w:rPr>
          <w:rFonts w:hint="eastAsia" w:eastAsia="仿宋_GB2312"/>
          <w:sz w:val="32"/>
          <w:szCs w:val="32"/>
        </w:rPr>
        <w:t>6.社会保障和就业支出（类）行政事业单位养老支出（款）机关事业单位基本养老保险缴费支出（项）:支出决算数为10.52万元，比上年决算增加4.40万元，增长71.76%，主要原因是：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eastAsia="zh-CN"/>
        </w:rPr>
        <w:t>，</w:t>
      </w:r>
      <w:r>
        <w:rPr>
          <w:rFonts w:hint="eastAsia" w:eastAsia="仿宋_GB2312"/>
          <w:sz w:val="32"/>
          <w:szCs w:val="32"/>
          <w:lang w:val="en-US" w:eastAsia="zh-CN"/>
        </w:rPr>
        <w:t>社保</w:t>
      </w:r>
      <w:r>
        <w:rPr>
          <w:rFonts w:hint="eastAsia" w:ascii="仿宋_GB2312" w:eastAsia="仿宋_GB2312"/>
          <w:sz w:val="32"/>
          <w:szCs w:val="32"/>
          <w:lang w:val="en-US" w:eastAsia="zh-CN"/>
        </w:rPr>
        <w:t>基数调增支出</w:t>
      </w:r>
      <w:r>
        <w:rPr>
          <w:rFonts w:hint="eastAsia" w:ascii="仿宋_GB2312" w:eastAsia="仿宋_GB2312"/>
          <w:sz w:val="32"/>
          <w:szCs w:val="32"/>
        </w:rPr>
        <w:t>增加。</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122.83万元，其中：人员经费116.43万元，包括：基本工资、津贴补贴、奖金、机关事业单位基本养老保险缴费、职工基本医疗保险缴费、公务员医疗补助缴费、其他社会保障缴费、住房公积金、其他工资福利支出。</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公用经费6.40万元，包括：办公费、邮电费、取暖费、差旅费、工会经费、福利费、其他交通费用</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2023年度财政拨款“三公”经费支出0.00万元，比上年增加0.00万元，增长0.00%，主要原因是：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。公务用车购置数0辆，公务用车保有量0辆。国有资产占用情况中固定资产车辆1辆，与公务用车保有量差异原因是：固定资产车辆</w:t>
      </w:r>
      <w:r>
        <w:rPr>
          <w:rFonts w:hint="eastAsia" w:ascii="仿宋_GB2312" w:eastAsia="仿宋_GB2312"/>
          <w:sz w:val="32"/>
          <w:szCs w:val="32"/>
          <w:lang w:val="en-US" w:eastAsia="zh-CN"/>
        </w:rPr>
        <w:t>为其他车辆，</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与全年预算相比,财政拨款“三公”经费支出全年预算数0.00万元，决算数0.00万元，预决算差异率0.00%，主要原因是：我单位无</w:t>
      </w:r>
      <w:r>
        <w:rPr>
          <w:rFonts w:hint="eastAsia" w:ascii="仿宋_GB2312" w:eastAsia="仿宋_GB2312"/>
          <w:sz w:val="32"/>
          <w:szCs w:val="32"/>
          <w:lang w:val="en-US" w:eastAsia="zh-CN"/>
        </w:rPr>
        <w:t>“三公”经费支出。</w:t>
      </w:r>
      <w:r>
        <w:rPr>
          <w:rFonts w:hint="eastAsia" w:ascii="仿宋_GB2312" w:eastAsia="仿宋_GB2312"/>
          <w:sz w:val="32"/>
          <w:szCs w:val="32"/>
          <w:lang w:val="zh-CN"/>
        </w:rPr>
        <w:t>其中：因公出国（境）费全年预算数0.00万元，决算数0.00万元，预决算差异率0.00%，主要原因是：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；公务用车购置费全年预算数0.00万元，决算数0.00万元，预决算差异率0.00%，主要原因是：</w:t>
      </w:r>
      <w:r>
        <w:rPr>
          <w:rFonts w:hint="eastAsia" w:ascii="仿宋_GB2312" w:eastAsia="仿宋_GB2312"/>
          <w:sz w:val="32"/>
          <w:szCs w:val="32"/>
          <w:lang w:val="en-US" w:eastAsia="zh-CN"/>
        </w:rPr>
        <w:t>我单位本年度无公务用车购置费</w:t>
      </w:r>
      <w:r>
        <w:rPr>
          <w:rFonts w:hint="eastAsia" w:ascii="仿宋_GB2312" w:eastAsia="仿宋_GB2312"/>
          <w:sz w:val="32"/>
          <w:szCs w:val="32"/>
          <w:lang w:val="zh-CN"/>
        </w:rPr>
        <w:t>；公务用车运行费全年预算数0.00万元，决算数0.00万元，预决算差异率0.00%，主要原因是：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；公务接待费全年预算数0.00万元，决算数0.00万元，预决算差异率0.00%，主要原因是：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9" w:name="_Toc5810"/>
      <w:bookmarkStart w:id="20" w:name="_Toc7927"/>
      <w:r>
        <w:rPr>
          <w:rFonts w:hint="eastAsia" w:ascii="黑体" w:hAnsi="黑体" w:eastAsia="黑体" w:cs="宋体"/>
          <w:bCs/>
          <w:kern w:val="0"/>
          <w:sz w:val="32"/>
          <w:szCs w:val="32"/>
        </w:rPr>
        <w:t>八、政府性基金预算财政拨款收入支出决算情况说明</w:t>
      </w:r>
      <w:bookmarkEnd w:id="19"/>
      <w:bookmarkEnd w:id="20"/>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pPr>
        <w:ind w:firstLine="640" w:firstLineChars="200"/>
        <w:jc w:val="left"/>
        <w:outlineLvl w:val="2"/>
        <w:rPr>
          <w:rFonts w:ascii="黑体" w:hAnsi="黑体" w:eastAsia="黑体"/>
          <w:sz w:val="32"/>
          <w:szCs w:val="32"/>
        </w:rPr>
      </w:pPr>
      <w:bookmarkStart w:id="23" w:name="_Toc13105"/>
      <w:bookmarkStart w:id="24" w:name="_Toc14519"/>
      <w:r>
        <w:rPr>
          <w:rFonts w:hint="eastAsia" w:ascii="黑体" w:hAnsi="黑体" w:eastAsia="黑体"/>
          <w:sz w:val="32"/>
          <w:szCs w:val="32"/>
        </w:rPr>
        <w:t>（一）机关运行经费支出情况</w:t>
      </w:r>
      <w:bookmarkEnd w:id="23"/>
      <w:bookmarkEnd w:id="24"/>
    </w:p>
    <w:p>
      <w:pPr>
        <w:ind w:firstLine="640" w:firstLineChars="200"/>
        <w:rPr>
          <w:rFonts w:eastAsia="仿宋_GB2312"/>
          <w:sz w:val="32"/>
          <w:szCs w:val="32"/>
          <w:lang w:val="zh-CN"/>
        </w:rPr>
      </w:pPr>
      <w:bookmarkStart w:id="25" w:name="_Toc227"/>
      <w:bookmarkStart w:id="26" w:name="_Toc26704"/>
      <w:r>
        <w:rPr>
          <w:rFonts w:hint="eastAsia" w:eastAsia="仿宋_GB2312"/>
          <w:sz w:val="32"/>
          <w:szCs w:val="32"/>
          <w:lang w:val="zh-CN"/>
        </w:rPr>
        <w:t>2023年度</w:t>
      </w:r>
      <w:r>
        <w:rPr>
          <w:rFonts w:hint="eastAsia" w:eastAsia="仿宋_GB2312"/>
          <w:sz w:val="32"/>
          <w:szCs w:val="32"/>
        </w:rPr>
        <w:t>喀什市国土资源执法监察大队（参照公务员法管理事业单位）机关运行经费支出6.40万元，比上年增加1.52万元，增长31.28%,主要原因是：</w:t>
      </w:r>
      <w:r>
        <w:rPr>
          <w:rFonts w:hint="eastAsia" w:eastAsia="仿宋_GB2312"/>
          <w:sz w:val="32"/>
          <w:szCs w:val="32"/>
          <w:lang w:val="en-US" w:eastAsia="zh-CN"/>
        </w:rPr>
        <w:t>调入</w:t>
      </w:r>
      <w:r>
        <w:rPr>
          <w:rFonts w:hint="eastAsia" w:eastAsia="仿宋_GB2312"/>
          <w:sz w:val="32"/>
          <w:szCs w:val="32"/>
        </w:rPr>
        <w:t>1</w:t>
      </w:r>
      <w:r>
        <w:rPr>
          <w:rFonts w:hint="eastAsia" w:eastAsia="仿宋_GB2312"/>
          <w:sz w:val="32"/>
          <w:szCs w:val="32"/>
          <w:lang w:val="en-US" w:eastAsia="zh-CN"/>
        </w:rPr>
        <w:t>人，</w:t>
      </w:r>
      <w:r>
        <w:rPr>
          <w:rFonts w:hint="eastAsia" w:eastAsia="仿宋_GB2312"/>
          <w:sz w:val="32"/>
          <w:szCs w:val="32"/>
        </w:rPr>
        <w:t>机关运行</w:t>
      </w:r>
      <w:bookmarkStart w:id="49" w:name="_GoBack"/>
      <w:bookmarkEnd w:id="49"/>
      <w:r>
        <w:rPr>
          <w:rFonts w:hint="eastAsia" w:eastAsia="仿宋_GB2312"/>
          <w:sz w:val="32"/>
          <w:szCs w:val="32"/>
        </w:rPr>
        <w:t>经费增加。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7" w:name="_Toc8391"/>
      <w:bookmarkStart w:id="28" w:name="_Toc4591"/>
      <w:r>
        <w:rPr>
          <w:rFonts w:hint="eastAsia" w:eastAsia="黑体"/>
          <w:sz w:val="32"/>
          <w:szCs w:val="30"/>
          <w:lang w:val="zh-CN"/>
        </w:rPr>
        <w:t>（三）国有资产占用情况说明</w:t>
      </w:r>
      <w:bookmarkEnd w:id="27"/>
      <w:bookmarkEnd w:id="28"/>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84.76</w:t>
      </w:r>
      <w:r>
        <w:rPr>
          <w:rFonts w:hint="eastAsia" w:eastAsia="仿宋_GB2312"/>
          <w:sz w:val="32"/>
          <w:szCs w:val="32"/>
        </w:rPr>
        <w:t>万元，房</w:t>
      </w:r>
      <w:r>
        <w:rPr>
          <w:rFonts w:hint="eastAsia" w:eastAsia="仿宋_GB2312"/>
          <w:sz w:val="32"/>
          <w:szCs w:val="32"/>
          <w:lang w:val="zh-CN"/>
        </w:rPr>
        <w:t>屋130.93平方米，价值40.80万元。车辆1辆，价值19.83万元，其中：副部（省）级及以上领导用车0辆、主要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eastAsia="仿宋_GB2312"/>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eastAsia="仿宋_GB2312"/>
          <w:sz w:val="32"/>
          <w:szCs w:val="32"/>
          <w:lang w:eastAsia="zh-CN"/>
        </w:rPr>
        <w:t>。</w:t>
      </w:r>
    </w:p>
    <w:p>
      <w:pPr>
        <w:ind w:firstLine="640" w:firstLineChars="200"/>
        <w:jc w:val="left"/>
        <w:rPr>
          <w:rFonts w:ascii="仿宋_GB2312" w:hAnsi="仿宋_GB2312" w:eastAsia="仿宋_GB2312" w:cs="仿宋_GB2312"/>
          <w:kern w:val="0"/>
          <w:sz w:val="32"/>
          <w:szCs w:val="32"/>
        </w:rPr>
      </w:pPr>
    </w:p>
    <w:p>
      <w:pPr>
        <w:jc w:val="center"/>
        <w:outlineLvl w:val="0"/>
        <w:rPr>
          <w:rFonts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841800"/>
    <w:rsid w:val="000778DA"/>
    <w:rsid w:val="00213C59"/>
    <w:rsid w:val="003210CE"/>
    <w:rsid w:val="00841800"/>
    <w:rsid w:val="00B70D59"/>
    <w:rsid w:val="00F52A8D"/>
    <w:rsid w:val="00F561E1"/>
    <w:rsid w:val="019404F8"/>
    <w:rsid w:val="02BD3108"/>
    <w:rsid w:val="02F73D26"/>
    <w:rsid w:val="034D4FEF"/>
    <w:rsid w:val="035D1785"/>
    <w:rsid w:val="039F47CE"/>
    <w:rsid w:val="03E05CE8"/>
    <w:rsid w:val="03F973EE"/>
    <w:rsid w:val="043E5B56"/>
    <w:rsid w:val="04C04386"/>
    <w:rsid w:val="04C265B3"/>
    <w:rsid w:val="04FA68C4"/>
    <w:rsid w:val="053F5AE6"/>
    <w:rsid w:val="057C0B0F"/>
    <w:rsid w:val="05EF4B48"/>
    <w:rsid w:val="05F76ECA"/>
    <w:rsid w:val="06792773"/>
    <w:rsid w:val="07093795"/>
    <w:rsid w:val="07804730"/>
    <w:rsid w:val="07807CF8"/>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A72E0D"/>
    <w:rsid w:val="0BB052B2"/>
    <w:rsid w:val="0BD33FFC"/>
    <w:rsid w:val="0BE97AC1"/>
    <w:rsid w:val="0C1C4780"/>
    <w:rsid w:val="0C3613A3"/>
    <w:rsid w:val="0C5E519C"/>
    <w:rsid w:val="0C7227A7"/>
    <w:rsid w:val="0CA52EE8"/>
    <w:rsid w:val="0CBD6988"/>
    <w:rsid w:val="0CD208AC"/>
    <w:rsid w:val="0D0A6424"/>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E467E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82286F"/>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AC7C3F"/>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4E688E"/>
    <w:rsid w:val="31C63837"/>
    <w:rsid w:val="31C82E39"/>
    <w:rsid w:val="32601BAD"/>
    <w:rsid w:val="329F6389"/>
    <w:rsid w:val="3389023A"/>
    <w:rsid w:val="33CB74FA"/>
    <w:rsid w:val="343642F2"/>
    <w:rsid w:val="343F3010"/>
    <w:rsid w:val="345D0A00"/>
    <w:rsid w:val="34713BFD"/>
    <w:rsid w:val="34C13589"/>
    <w:rsid w:val="34EF4878"/>
    <w:rsid w:val="353369E3"/>
    <w:rsid w:val="35E00D72"/>
    <w:rsid w:val="36965B9D"/>
    <w:rsid w:val="36C549FD"/>
    <w:rsid w:val="37A755DD"/>
    <w:rsid w:val="37F94FA0"/>
    <w:rsid w:val="380D3381"/>
    <w:rsid w:val="38115B1F"/>
    <w:rsid w:val="385E3AC3"/>
    <w:rsid w:val="387D6B9E"/>
    <w:rsid w:val="38A51329"/>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062FAF"/>
    <w:rsid w:val="3E2527BF"/>
    <w:rsid w:val="3E731662"/>
    <w:rsid w:val="3E8168DD"/>
    <w:rsid w:val="3EA7725F"/>
    <w:rsid w:val="3EB03713"/>
    <w:rsid w:val="3EBF1A11"/>
    <w:rsid w:val="3EC52607"/>
    <w:rsid w:val="3EEC6CEF"/>
    <w:rsid w:val="3EF128C3"/>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253FA6"/>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A423DC"/>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2C38C9"/>
    <w:rsid w:val="525C687F"/>
    <w:rsid w:val="52F647F7"/>
    <w:rsid w:val="52F92565"/>
    <w:rsid w:val="53D03877"/>
    <w:rsid w:val="540936B4"/>
    <w:rsid w:val="542F73CA"/>
    <w:rsid w:val="5430786D"/>
    <w:rsid w:val="54C811C0"/>
    <w:rsid w:val="556A442D"/>
    <w:rsid w:val="55DA564E"/>
    <w:rsid w:val="5604127D"/>
    <w:rsid w:val="56166703"/>
    <w:rsid w:val="56510474"/>
    <w:rsid w:val="5662314F"/>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027671"/>
    <w:rsid w:val="5A60780B"/>
    <w:rsid w:val="5AB34579"/>
    <w:rsid w:val="5AFC6609"/>
    <w:rsid w:val="5B113480"/>
    <w:rsid w:val="5BD456CE"/>
    <w:rsid w:val="5C0D1F49"/>
    <w:rsid w:val="5CBB0CE2"/>
    <w:rsid w:val="5CC17177"/>
    <w:rsid w:val="5CF306BC"/>
    <w:rsid w:val="5D3F3D64"/>
    <w:rsid w:val="5D833043"/>
    <w:rsid w:val="5DA12E1E"/>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9732F9"/>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952B42"/>
    <w:rsid w:val="72D068C7"/>
    <w:rsid w:val="72E42ED8"/>
    <w:rsid w:val="735F4CB9"/>
    <w:rsid w:val="73674C62"/>
    <w:rsid w:val="73845865"/>
    <w:rsid w:val="739B6D9E"/>
    <w:rsid w:val="73BC1D76"/>
    <w:rsid w:val="73FB6630"/>
    <w:rsid w:val="748D790E"/>
    <w:rsid w:val="749820CC"/>
    <w:rsid w:val="74CE04EC"/>
    <w:rsid w:val="74E76DCD"/>
    <w:rsid w:val="74EC5748"/>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0E5F7B"/>
    <w:rsid w:val="7BC468F8"/>
    <w:rsid w:val="7C976D69"/>
    <w:rsid w:val="7CD752DA"/>
    <w:rsid w:val="7CDE40AB"/>
    <w:rsid w:val="7CF057E2"/>
    <w:rsid w:val="7D1548B5"/>
    <w:rsid w:val="7DF84014"/>
    <w:rsid w:val="7E207949"/>
    <w:rsid w:val="7E5C0A47"/>
    <w:rsid w:val="7E670C75"/>
    <w:rsid w:val="7EE24272"/>
    <w:rsid w:val="7EEA6053"/>
    <w:rsid w:val="7F487C04"/>
    <w:rsid w:val="7F7E1E31"/>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5070</Words>
  <Characters>5666</Characters>
  <Lines>54</Lines>
  <Paragraphs>15</Paragraphs>
  <TotalTime>0</TotalTime>
  <ScaleCrop>false</ScaleCrop>
  <LinksUpToDate>false</LinksUpToDate>
  <CharactersWithSpaces>5677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2024-08-13T03:02:00Z</dcterms:created>
  <dc:creator>GXR</dc:creator>
  <cp:lastModifiedBy>Administrator</cp:lastModifiedBy>
  <dcterms:modified xsi:type="dcterms:W3CDTF">2024-09-07T22:42:48Z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