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岳普湖县国土资源执法监察大队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岳普湖县国土资源执法监察大队，为自治区自然资源厅下属四级预算单位，参照公务员法管理的事业单位。实行垂直管理，统一履行岳普湖县国土资源执法监察职能。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1、宣传和贯彻执行国家、自治区有关土地、矿产资源的法律、法规、规章和制度。</w:t>
      </w:r>
      <w:r>
        <w:rPr>
          <w:rFonts w:ascii="仿宋_GB2312" w:eastAsia="仿宋_GB2312"/>
          <w:sz w:val="32"/>
          <w:szCs w:val="32"/>
        </w:rPr>
        <w:br w:type="textWrapping"/>
      </w:r>
      <w:r>
        <w:rPr>
          <w:rFonts w:ascii="仿宋_GB2312" w:eastAsia="仿宋_GB2312"/>
          <w:sz w:val="32"/>
          <w:szCs w:val="32"/>
        </w:rPr>
        <w:t>　　2、组织和实施对所辖区执行土地、矿产资源法律、法规、规章情况的巡查，及时发现和制止土地、矿产资源违法行为。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3、依法组织和实施重大土地、矿产资源违法案件的调查、取证、现场勘验工作，并进行查处。</w:t>
      </w:r>
      <w:r>
        <w:rPr>
          <w:rFonts w:ascii="仿宋_GB2312" w:eastAsia="仿宋_GB2312"/>
          <w:sz w:val="32"/>
          <w:szCs w:val="32"/>
        </w:rPr>
        <w:br w:type="textWrapping"/>
      </w:r>
      <w:r>
        <w:rPr>
          <w:rFonts w:ascii="仿宋_GB2312" w:eastAsia="仿宋_GB2312"/>
          <w:sz w:val="32"/>
          <w:szCs w:val="32"/>
        </w:rPr>
        <w:t>　　4、负责重大土地、矿产资源卫片违法图斑的查处。</w:t>
      </w:r>
      <w:r>
        <w:rPr>
          <w:rFonts w:ascii="仿宋_GB2312" w:eastAsia="仿宋_GB2312"/>
          <w:sz w:val="32"/>
          <w:szCs w:val="32"/>
        </w:rPr>
        <w:br w:type="textWrapping"/>
      </w:r>
      <w:r>
        <w:rPr>
          <w:rFonts w:ascii="仿宋_GB2312" w:eastAsia="仿宋_GB2312"/>
          <w:sz w:val="32"/>
          <w:szCs w:val="32"/>
        </w:rPr>
        <w:t>　　5、负责本县国土资源执法监察队伍建设，统一管理机构编制、人员、经费。</w:t>
      </w:r>
      <w:r>
        <w:rPr>
          <w:rFonts w:ascii="仿宋_GB2312" w:eastAsia="仿宋_GB2312"/>
          <w:sz w:val="32"/>
          <w:szCs w:val="32"/>
        </w:rPr>
        <w:br w:type="textWrapping"/>
      </w:r>
      <w:r>
        <w:rPr>
          <w:rFonts w:ascii="仿宋_GB2312" w:eastAsia="仿宋_GB2312"/>
          <w:sz w:val="32"/>
          <w:szCs w:val="32"/>
        </w:rPr>
        <w:t>　　6、完成自治区党委、政府和上级国土资源管理部门交办的其他工作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eastAsia="仿宋_GB2312"/>
          <w:sz w:val="32"/>
          <w:szCs w:val="32"/>
        </w:rPr>
      </w:pPr>
      <w:r>
        <w:rPr>
          <w:rFonts w:hint="eastAsia" w:ascii="仿宋_GB2312" w:eastAsia="仿宋_GB2312"/>
          <w:sz w:val="32"/>
          <w:szCs w:val="32"/>
        </w:rPr>
        <w:t>岳普湖县国土资源执法监察大队2023年度，实有人数</w:t>
      </w:r>
      <w:r>
        <w:rPr>
          <w:rFonts w:hint="eastAsia" w:ascii="仿宋_GB2312" w:eastAsia="仿宋_GB2312"/>
          <w:sz w:val="32"/>
          <w:szCs w:val="32"/>
          <w:lang w:val="zh-CN"/>
        </w:rPr>
        <w:t>5</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hAnsi="黑体" w:eastAsia="仿宋_GB2312" w:cs="宋体"/>
          <w:bCs/>
          <w:kern w:val="0"/>
          <w:sz w:val="32"/>
          <w:szCs w:val="32"/>
          <w:highlight w:val="none"/>
        </w:rPr>
        <w:t>单位无下属预算单位</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rPr>
        <w:t>下设</w:t>
      </w:r>
      <w:r>
        <w:rPr>
          <w:rFonts w:hint="eastAsia" w:ascii="仿宋_GB2312" w:eastAsia="仿宋_GB2312"/>
          <w:sz w:val="32"/>
          <w:szCs w:val="32"/>
          <w:lang w:val="en-US" w:eastAsia="zh-CN"/>
        </w:rPr>
        <w:t>1</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2023年度收入总计136.84万元，其中：本年收入合计133.26万元，使用非财政拨款结余0.00万元，年初结转和结余3.58万元。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2023年度支出总计136.84万元，其中：本年支出合计129.88万元，结余分配0.00万元，年末结转和结余6.96万元。</w:t>
      </w:r>
    </w:p>
    <w:p>
      <w:pPr>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收入支出总体与上年相比，</w:t>
      </w:r>
      <w:r>
        <w:rPr>
          <w:rFonts w:hint="eastAsia" w:ascii="仿宋_GB2312" w:hAnsi="Times New Roman" w:eastAsia="仿宋_GB2312" w:cs="Times New Roman"/>
          <w:sz w:val="32"/>
          <w:szCs w:val="32"/>
          <w:lang w:val="zh-CN"/>
        </w:rPr>
        <w:t>增加14.64万元</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zh-CN"/>
        </w:rPr>
        <w:t>增长11.98%</w:t>
      </w:r>
      <w:r>
        <w:rPr>
          <w:rFonts w:hint="eastAsia" w:ascii="仿宋_GB2312" w:hAnsi="Times New Roman" w:eastAsia="仿宋_GB2312" w:cs="Times New Roman"/>
          <w:sz w:val="32"/>
          <w:szCs w:val="32"/>
        </w:rPr>
        <w:t>，主要原因是：</w:t>
      </w:r>
      <w:r>
        <w:rPr>
          <w:rFonts w:hint="eastAsia" w:ascii="仿宋_GB2312" w:hAnsi="Times New Roman" w:eastAsia="仿宋_GB2312" w:cs="Times New Roman"/>
          <w:sz w:val="32"/>
          <w:szCs w:val="32"/>
          <w:lang w:val="en-US" w:eastAsia="zh-CN"/>
        </w:rPr>
        <w:t>2023年度人员职务职级晋升、</w:t>
      </w:r>
      <w:r>
        <w:rPr>
          <w:rFonts w:hint="eastAsia" w:ascii="仿宋_GB2312" w:hAnsi="Times New Roman" w:eastAsia="仿宋_GB2312" w:cs="Times New Roman"/>
          <w:sz w:val="32"/>
          <w:szCs w:val="32"/>
        </w:rPr>
        <w:t>调标增资收入</w:t>
      </w:r>
      <w:r>
        <w:rPr>
          <w:rFonts w:hint="eastAsia" w:ascii="仿宋_GB2312" w:hAnsi="Times New Roman" w:eastAsia="仿宋_GB2312" w:cs="Times New Roman"/>
          <w:sz w:val="32"/>
          <w:szCs w:val="32"/>
          <w:lang w:val="en-US" w:eastAsia="zh-CN"/>
        </w:rPr>
        <w:t>支出</w:t>
      </w:r>
      <w:r>
        <w:rPr>
          <w:rFonts w:hint="eastAsia" w:ascii="仿宋_GB2312" w:hAnsi="Times New Roman" w:eastAsia="仿宋_GB2312" w:cs="Times New Roman"/>
          <w:sz w:val="32"/>
          <w:szCs w:val="32"/>
        </w:rPr>
        <w:t>增加。</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本年收入133.26万元，其中：财政拨款收入</w:t>
      </w:r>
      <w:r>
        <w:rPr>
          <w:rFonts w:hint="eastAsia" w:ascii="仿宋_GB2312" w:eastAsia="仿宋_GB2312"/>
          <w:sz w:val="32"/>
          <w:szCs w:val="32"/>
          <w:lang w:val="zh-CN"/>
        </w:rPr>
        <w:t>133.25</w:t>
      </w:r>
      <w:r>
        <w:rPr>
          <w:rFonts w:hint="eastAsia" w:ascii="仿宋_GB2312" w:eastAsia="仿宋_GB2312"/>
          <w:sz w:val="32"/>
          <w:szCs w:val="32"/>
        </w:rPr>
        <w:t>万元，占</w:t>
      </w:r>
      <w:r>
        <w:rPr>
          <w:rFonts w:hint="eastAsia" w:ascii="仿宋_GB2312" w:eastAsia="仿宋_GB2312"/>
          <w:sz w:val="32"/>
          <w:szCs w:val="32"/>
          <w:lang w:val="zh-CN"/>
        </w:rPr>
        <w:t>99.99</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0.02</w:t>
      </w:r>
      <w:r>
        <w:rPr>
          <w:rFonts w:hint="eastAsia" w:ascii="仿宋_GB2312" w:eastAsia="仿宋_GB2312"/>
          <w:sz w:val="32"/>
          <w:szCs w:val="32"/>
        </w:rPr>
        <w:t>万元，占</w:t>
      </w:r>
      <w:r>
        <w:rPr>
          <w:rFonts w:hint="eastAsia" w:ascii="仿宋_GB2312" w:eastAsia="仿宋_GB2312"/>
          <w:sz w:val="32"/>
          <w:szCs w:val="32"/>
          <w:lang w:val="zh-CN"/>
        </w:rPr>
        <w:t>0.01</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本年支出129.88万元，其中：基本支出107.26万元，占82.59%；项目支出22.62万元，占17.41%；上缴上级支出0.00万元，占0.00%；经营支出0.00万元，占0.00%；对附属单位补助支出0.00万元，占0.00%。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136.83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3.58</w:t>
      </w:r>
      <w:r>
        <w:rPr>
          <w:rFonts w:hint="eastAsia" w:ascii="仿宋_GB2312" w:eastAsia="仿宋_GB2312"/>
          <w:sz w:val="32"/>
          <w:szCs w:val="32"/>
        </w:rPr>
        <w:t>万元，本年财政拨款收入</w:t>
      </w:r>
      <w:r>
        <w:rPr>
          <w:rFonts w:hint="eastAsia" w:ascii="仿宋_GB2312" w:eastAsia="仿宋_GB2312"/>
          <w:sz w:val="32"/>
          <w:szCs w:val="32"/>
          <w:lang w:val="zh-CN"/>
        </w:rPr>
        <w:t>133.25</w:t>
      </w:r>
      <w:r>
        <w:rPr>
          <w:rFonts w:hint="eastAsia" w:ascii="仿宋_GB2312" w:eastAsia="仿宋_GB2312"/>
          <w:sz w:val="32"/>
          <w:szCs w:val="32"/>
        </w:rPr>
        <w:t>万元。财政拨款支出总计</w:t>
      </w:r>
      <w:r>
        <w:rPr>
          <w:rFonts w:hint="eastAsia" w:ascii="仿宋_GB2312" w:eastAsia="仿宋_GB2312"/>
          <w:sz w:val="32"/>
          <w:szCs w:val="32"/>
          <w:lang w:val="zh-CN"/>
        </w:rPr>
        <w:t>136.83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6.96</w:t>
      </w:r>
      <w:r>
        <w:rPr>
          <w:rFonts w:hint="eastAsia" w:ascii="仿宋_GB2312" w:eastAsia="仿宋_GB2312"/>
          <w:sz w:val="32"/>
          <w:szCs w:val="32"/>
        </w:rPr>
        <w:t>万元，本年财政拨款支出</w:t>
      </w:r>
      <w:r>
        <w:rPr>
          <w:rFonts w:hint="eastAsia" w:ascii="仿宋_GB2312" w:eastAsia="仿宋_GB2312"/>
          <w:sz w:val="32"/>
          <w:szCs w:val="32"/>
          <w:lang w:val="zh-CN"/>
        </w:rPr>
        <w:t>129.87</w:t>
      </w:r>
      <w:r>
        <w:rPr>
          <w:rFonts w:hint="eastAsia" w:ascii="仿宋_GB2312" w:eastAsia="仿宋_GB2312"/>
          <w:sz w:val="32"/>
          <w:szCs w:val="32"/>
        </w:rPr>
        <w:t>万元。</w:t>
      </w:r>
    </w:p>
    <w:p>
      <w:pPr>
        <w:ind w:firstLine="640" w:firstLineChars="200"/>
        <w:jc w:val="left"/>
        <w:rPr>
          <w:rFonts w:hint="eastAsia" w:ascii="仿宋_GB2312" w:hAnsi="Times New Roman" w:eastAsia="仿宋_GB2312" w:cs="Times New Roman"/>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增加14.64万元</w:t>
      </w:r>
      <w:r>
        <w:rPr>
          <w:rFonts w:hint="eastAsia" w:ascii="仿宋_GB2312" w:eastAsia="仿宋_GB2312"/>
          <w:sz w:val="32"/>
          <w:szCs w:val="32"/>
        </w:rPr>
        <w:t>，</w:t>
      </w:r>
      <w:r>
        <w:rPr>
          <w:rFonts w:hint="eastAsia" w:ascii="仿宋_GB2312" w:eastAsia="仿宋_GB2312"/>
          <w:sz w:val="32"/>
          <w:szCs w:val="32"/>
          <w:lang w:val="zh-CN"/>
        </w:rPr>
        <w:t>增长11.98%，</w:t>
      </w:r>
      <w:r>
        <w:rPr>
          <w:rFonts w:hint="eastAsia" w:ascii="仿宋_GB2312" w:eastAsia="仿宋_GB2312"/>
          <w:sz w:val="32"/>
          <w:szCs w:val="32"/>
        </w:rPr>
        <w:t>主要原因是：人员调标增资收入</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121.97</w:t>
      </w:r>
      <w:r>
        <w:rPr>
          <w:rFonts w:hint="eastAsia" w:ascii="仿宋_GB2312" w:eastAsia="仿宋_GB2312"/>
          <w:sz w:val="32"/>
          <w:szCs w:val="32"/>
        </w:rPr>
        <w:t>万元，决算数</w:t>
      </w:r>
      <w:r>
        <w:rPr>
          <w:rFonts w:hint="eastAsia" w:ascii="仿宋_GB2312" w:eastAsia="仿宋_GB2312"/>
          <w:sz w:val="32"/>
          <w:szCs w:val="32"/>
          <w:lang w:val="zh-CN"/>
        </w:rPr>
        <w:t>136.83</w:t>
      </w:r>
      <w:r>
        <w:rPr>
          <w:rFonts w:hint="eastAsia" w:ascii="仿宋_GB2312" w:eastAsia="仿宋_GB2312"/>
          <w:sz w:val="32"/>
          <w:szCs w:val="32"/>
        </w:rPr>
        <w:t>万元，预决算差异率12.18%，主要原因是：</w:t>
      </w:r>
      <w:r>
        <w:rPr>
          <w:rFonts w:hint="eastAsia" w:ascii="仿宋_GB2312" w:hAnsi="Times New Roman" w:eastAsia="仿宋_GB2312" w:cs="Times New Roman"/>
          <w:sz w:val="32"/>
          <w:szCs w:val="32"/>
          <w:lang w:val="en-US" w:eastAsia="zh-CN"/>
        </w:rPr>
        <w:t>2023年度人员职务职级晋升、</w:t>
      </w:r>
      <w:r>
        <w:rPr>
          <w:rFonts w:hint="eastAsia" w:ascii="仿宋_GB2312" w:hAnsi="Times New Roman" w:eastAsia="仿宋_GB2312" w:cs="Times New Roman"/>
          <w:sz w:val="32"/>
          <w:szCs w:val="32"/>
        </w:rPr>
        <w:t>调标增资</w:t>
      </w:r>
      <w:r>
        <w:rPr>
          <w:rFonts w:hint="eastAsia" w:ascii="仿宋_GB2312" w:eastAsia="仿宋_GB2312" w:cs="Times New Roman"/>
          <w:sz w:val="32"/>
          <w:szCs w:val="32"/>
          <w:lang w:eastAsia="zh-CN"/>
        </w:rPr>
        <w:t>，预决算产生差异</w:t>
      </w:r>
      <w:r>
        <w:rPr>
          <w:rFonts w:hint="eastAsia" w:ascii="仿宋_GB2312" w:hAnsi="Times New Roman" w:eastAsia="仿宋_GB2312" w:cs="Times New Roman"/>
          <w:sz w:val="32"/>
          <w:szCs w:val="32"/>
        </w:rPr>
        <w:t>。</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hint="eastAsia" w:ascii="仿宋_GB2312" w:eastAsia="仿宋_GB2312"/>
          <w:sz w:val="32"/>
          <w:szCs w:val="32"/>
        </w:rPr>
      </w:pPr>
      <w:r>
        <w:rPr>
          <w:rFonts w:hint="eastAsia" w:ascii="仿宋_GB2312" w:eastAsia="仿宋_GB2312"/>
          <w:sz w:val="32"/>
          <w:szCs w:val="32"/>
        </w:rPr>
        <w:t>2023年度一般公共预算财政拨款支出129.87万元，占本年支出合计的</w:t>
      </w:r>
      <w:r>
        <w:rPr>
          <w:rFonts w:hint="eastAsia" w:ascii="仿宋_GB2312" w:eastAsia="仿宋_GB2312"/>
          <w:sz w:val="32"/>
          <w:szCs w:val="32"/>
          <w:lang w:val="zh-CN"/>
        </w:rPr>
        <w:t>99.99%</w:t>
      </w:r>
      <w:r>
        <w:rPr>
          <w:rFonts w:hint="eastAsia" w:ascii="仿宋_GB2312" w:eastAsia="仿宋_GB2312"/>
          <w:sz w:val="32"/>
          <w:szCs w:val="32"/>
        </w:rPr>
        <w:t>。与上年相比，</w:t>
      </w:r>
      <w:r>
        <w:rPr>
          <w:rFonts w:hint="eastAsia" w:ascii="仿宋_GB2312" w:eastAsia="仿宋_GB2312"/>
          <w:sz w:val="32"/>
          <w:szCs w:val="32"/>
          <w:lang w:val="zh-CN"/>
        </w:rPr>
        <w:t>增加11.25万元</w:t>
      </w:r>
      <w:r>
        <w:rPr>
          <w:rFonts w:hint="eastAsia" w:ascii="仿宋_GB2312" w:eastAsia="仿宋_GB2312"/>
          <w:sz w:val="32"/>
          <w:szCs w:val="32"/>
        </w:rPr>
        <w:t>，</w:t>
      </w:r>
      <w:r>
        <w:rPr>
          <w:rFonts w:hint="eastAsia" w:ascii="仿宋_GB2312" w:eastAsia="仿宋_GB2312"/>
          <w:sz w:val="32"/>
          <w:szCs w:val="32"/>
          <w:lang w:val="zh-CN"/>
        </w:rPr>
        <w:t>增长9.49%，</w:t>
      </w:r>
      <w:r>
        <w:rPr>
          <w:rFonts w:hint="eastAsia" w:ascii="仿宋_GB2312" w:eastAsia="仿宋_GB2312"/>
          <w:sz w:val="32"/>
          <w:szCs w:val="32"/>
        </w:rPr>
        <w:t>主要原因是：人员调标增资</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121.97</w:t>
      </w:r>
      <w:r>
        <w:rPr>
          <w:rFonts w:hint="eastAsia" w:ascii="仿宋_GB2312" w:eastAsia="仿宋_GB2312"/>
          <w:sz w:val="32"/>
          <w:szCs w:val="32"/>
        </w:rPr>
        <w:t>万元，决算数</w:t>
      </w:r>
      <w:r>
        <w:rPr>
          <w:rFonts w:hint="eastAsia" w:ascii="仿宋_GB2312" w:eastAsia="仿宋_GB2312"/>
          <w:sz w:val="32"/>
          <w:szCs w:val="32"/>
          <w:lang w:val="zh-CN"/>
        </w:rPr>
        <w:t>129.87</w:t>
      </w:r>
      <w:r>
        <w:rPr>
          <w:rFonts w:hint="eastAsia" w:ascii="仿宋_GB2312" w:eastAsia="仿宋_GB2312"/>
          <w:sz w:val="32"/>
          <w:szCs w:val="32"/>
        </w:rPr>
        <w:t>万元，预决算差异率</w:t>
      </w:r>
      <w:r>
        <w:rPr>
          <w:rFonts w:hint="eastAsia" w:ascii="仿宋_GB2312" w:eastAsia="仿宋_GB2312"/>
          <w:sz w:val="32"/>
          <w:szCs w:val="32"/>
          <w:lang w:val="zh-CN"/>
        </w:rPr>
        <w:t>6.47%</w:t>
      </w:r>
      <w:r>
        <w:rPr>
          <w:rFonts w:hint="eastAsia" w:ascii="仿宋_GB2312" w:eastAsia="仿宋_GB2312"/>
          <w:sz w:val="32"/>
          <w:szCs w:val="32"/>
        </w:rPr>
        <w:t>，主要原因是：</w:t>
      </w:r>
      <w:r>
        <w:rPr>
          <w:rFonts w:hint="eastAsia" w:ascii="仿宋_GB2312" w:hAnsi="Times New Roman" w:eastAsia="仿宋_GB2312" w:cs="Times New Roman"/>
          <w:sz w:val="32"/>
          <w:szCs w:val="32"/>
          <w:lang w:val="en-US" w:eastAsia="zh-CN"/>
        </w:rPr>
        <w:t>2023年度人员职务职级晋升、</w:t>
      </w:r>
      <w:r>
        <w:rPr>
          <w:rFonts w:hint="eastAsia" w:ascii="仿宋_GB2312" w:hAnsi="Times New Roman" w:eastAsia="仿宋_GB2312" w:cs="Times New Roman"/>
          <w:sz w:val="32"/>
          <w:szCs w:val="32"/>
        </w:rPr>
        <w:t>调标增资</w:t>
      </w:r>
      <w:r>
        <w:rPr>
          <w:rFonts w:hint="eastAsia" w:ascii="仿宋_GB2312" w:eastAsia="仿宋_GB2312" w:cs="Times New Roman"/>
          <w:sz w:val="32"/>
          <w:szCs w:val="32"/>
          <w:lang w:eastAsia="zh-CN"/>
        </w:rPr>
        <w:t>，预决算产生差异</w:t>
      </w:r>
      <w:r>
        <w:rPr>
          <w:rFonts w:hint="eastAsia" w:ascii="仿宋_GB2312" w:hAnsi="Times New Roman" w:eastAsia="仿宋_GB2312" w:cs="Times New Roman"/>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9.19</w:t>
      </w:r>
      <w:r>
        <w:rPr>
          <w:rFonts w:ascii="仿宋_GB2312" w:eastAsia="仿宋_GB2312"/>
          <w:kern w:val="2"/>
          <w:sz w:val="32"/>
          <w:szCs w:val="32"/>
          <w:lang w:val="zh-CN"/>
        </w:rPr>
        <w:t>万元，占</w:t>
      </w:r>
      <w:r>
        <w:rPr>
          <w:rFonts w:hint="eastAsia" w:ascii="仿宋_GB2312" w:eastAsia="仿宋_GB2312"/>
          <w:kern w:val="2"/>
          <w:sz w:val="32"/>
          <w:szCs w:val="32"/>
          <w:lang w:val="zh-CN"/>
        </w:rPr>
        <w:t>7.08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9.32</w:t>
      </w:r>
      <w:r>
        <w:rPr>
          <w:rFonts w:ascii="仿宋_GB2312" w:eastAsia="仿宋_GB2312"/>
          <w:kern w:val="2"/>
          <w:sz w:val="32"/>
          <w:szCs w:val="32"/>
          <w:lang w:val="zh-CN"/>
        </w:rPr>
        <w:t>万元，占</w:t>
      </w:r>
      <w:r>
        <w:rPr>
          <w:rFonts w:hint="eastAsia" w:ascii="仿宋_GB2312" w:eastAsia="仿宋_GB2312"/>
          <w:kern w:val="2"/>
          <w:sz w:val="32"/>
          <w:szCs w:val="32"/>
          <w:lang w:val="zh-CN"/>
        </w:rPr>
        <w:t>7.18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103.91</w:t>
      </w:r>
      <w:r>
        <w:rPr>
          <w:rFonts w:ascii="仿宋_GB2312" w:eastAsia="仿宋_GB2312"/>
          <w:kern w:val="2"/>
          <w:sz w:val="32"/>
          <w:szCs w:val="32"/>
          <w:lang w:val="zh-CN"/>
        </w:rPr>
        <w:t>万元，占</w:t>
      </w:r>
      <w:r>
        <w:rPr>
          <w:rFonts w:hint="eastAsia" w:ascii="仿宋_GB2312" w:eastAsia="仿宋_GB2312"/>
          <w:kern w:val="2"/>
          <w:sz w:val="32"/>
          <w:szCs w:val="32"/>
          <w:lang w:val="zh-CN"/>
        </w:rPr>
        <w:t>80.01</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7.44</w:t>
      </w:r>
      <w:r>
        <w:rPr>
          <w:rFonts w:ascii="仿宋_GB2312" w:eastAsia="仿宋_GB2312"/>
          <w:kern w:val="2"/>
          <w:sz w:val="32"/>
          <w:szCs w:val="32"/>
          <w:lang w:val="zh-CN"/>
        </w:rPr>
        <w:t>万元，占</w:t>
      </w:r>
      <w:r>
        <w:rPr>
          <w:rFonts w:hint="eastAsia" w:ascii="仿宋_GB2312" w:eastAsia="仿宋_GB2312"/>
          <w:kern w:val="2"/>
          <w:sz w:val="32"/>
          <w:szCs w:val="32"/>
          <w:lang w:val="zh-CN"/>
        </w:rPr>
        <w:t>5.73</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1.卫生健康支出（类）行政事业单位医疗（款）行政单位医疗（项）:支出决算数为4.98万元，比上年决算增加0.50万元，增长11.06%，主要原因是：</w:t>
      </w:r>
      <w:r>
        <w:rPr>
          <w:rFonts w:hint="eastAsia"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工资</w:t>
      </w:r>
      <w:r>
        <w:rPr>
          <w:rFonts w:hint="eastAsia" w:ascii="仿宋_GB2312" w:eastAsia="仿宋_GB2312"/>
          <w:sz w:val="32"/>
          <w:szCs w:val="32"/>
        </w:rPr>
        <w:t>调标增资</w:t>
      </w:r>
      <w:r>
        <w:rPr>
          <w:rFonts w:hint="eastAsia" w:ascii="仿宋_GB2312" w:eastAsia="仿宋_GB2312"/>
          <w:sz w:val="32"/>
          <w:szCs w:val="32"/>
          <w:lang w:eastAsia="zh-CN"/>
        </w:rPr>
        <w:t>，医</w:t>
      </w:r>
      <w:r>
        <w:rPr>
          <w:rFonts w:hint="eastAsia" w:ascii="仿宋_GB2312" w:eastAsia="仿宋_GB2312"/>
          <w:sz w:val="32"/>
          <w:szCs w:val="32"/>
        </w:rPr>
        <w:t>保基数上调，缴费金额增加</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2.卫生健康支出（类）行政事业单位医疗（款）公务员医疗补助（项）:支出决算数为4.34万元，比上年决算增加0.86万元，增长24.59%，主要原因是：</w:t>
      </w:r>
      <w:r>
        <w:rPr>
          <w:rFonts w:hint="eastAsia"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工资</w:t>
      </w:r>
      <w:r>
        <w:rPr>
          <w:rFonts w:hint="eastAsia" w:ascii="仿宋_GB2312" w:eastAsia="仿宋_GB2312"/>
          <w:sz w:val="32"/>
          <w:szCs w:val="32"/>
        </w:rPr>
        <w:t>调标增资</w:t>
      </w:r>
      <w:r>
        <w:rPr>
          <w:rFonts w:hint="eastAsia" w:ascii="仿宋_GB2312" w:eastAsia="仿宋_GB2312"/>
          <w:sz w:val="32"/>
          <w:szCs w:val="32"/>
          <w:lang w:eastAsia="zh-CN"/>
        </w:rPr>
        <w:t>，医</w:t>
      </w:r>
      <w:r>
        <w:rPr>
          <w:rFonts w:hint="eastAsia" w:ascii="仿宋_GB2312" w:eastAsia="仿宋_GB2312"/>
          <w:sz w:val="32"/>
          <w:szCs w:val="32"/>
        </w:rPr>
        <w:t>保基数上调</w:t>
      </w:r>
      <w:r>
        <w:rPr>
          <w:rFonts w:hint="eastAsia" w:ascii="仿宋_GB2312" w:eastAsia="仿宋_GB2312"/>
          <w:sz w:val="32"/>
          <w:szCs w:val="32"/>
          <w:lang w:eastAsia="zh-CN"/>
        </w:rPr>
        <w:t>，</w:t>
      </w:r>
      <w:r>
        <w:rPr>
          <w:rFonts w:hint="eastAsia" w:ascii="仿宋_GB2312" w:eastAsia="仿宋_GB2312"/>
          <w:sz w:val="32"/>
          <w:szCs w:val="32"/>
        </w:rPr>
        <w:t>缴费金额增加</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hint="eastAsia" w:eastAsia="仿宋_GB2312"/>
          <w:sz w:val="32"/>
          <w:szCs w:val="32"/>
          <w:lang w:val="zh-CN"/>
        </w:rPr>
      </w:pPr>
      <w:r>
        <w:rPr>
          <w:rFonts w:hint="eastAsia" w:eastAsia="仿宋_GB2312"/>
          <w:sz w:val="32"/>
          <w:szCs w:val="32"/>
        </w:rPr>
        <w:t>3.自然资源海洋气象等支出（类）自然资源事务（款）其他自然资源事务支出（项）:支出决算数为22.62万元，比上年决算增加3.20万元，增长16.46%，主要原因是：</w:t>
      </w:r>
      <w:r>
        <w:rPr>
          <w:rFonts w:hint="eastAsia" w:eastAsia="仿宋_GB2312"/>
          <w:sz w:val="32"/>
          <w:szCs w:val="32"/>
          <w:lang w:val="en-US" w:eastAsia="zh-CN"/>
        </w:rPr>
        <w:t>2023年度</w:t>
      </w:r>
      <w:r>
        <w:rPr>
          <w:rFonts w:hint="eastAsia" w:eastAsia="仿宋_GB2312"/>
          <w:sz w:val="32"/>
          <w:szCs w:val="32"/>
          <w:lang w:val="zh-CN"/>
        </w:rPr>
        <w:t>加大执法办案力度，支出增加。</w:t>
      </w:r>
    </w:p>
    <w:p>
      <w:pPr>
        <w:ind w:firstLine="640" w:firstLineChars="200"/>
        <w:jc w:val="left"/>
        <w:rPr>
          <w:rFonts w:hint="eastAsia" w:ascii="仿宋_GB2312" w:eastAsia="仿宋_GB2312"/>
          <w:sz w:val="32"/>
          <w:szCs w:val="32"/>
        </w:rPr>
      </w:pPr>
      <w:r>
        <w:rPr>
          <w:rFonts w:hint="eastAsia" w:eastAsia="仿宋_GB2312"/>
          <w:sz w:val="32"/>
          <w:szCs w:val="32"/>
        </w:rPr>
        <w:t>4.自然资源海洋气象等支出（类）自然资源事务（款）行政运行（项）:支出决算数为81.29万元，比上年决算增加3.76万元，增长4.85%，主要原因是：</w:t>
      </w:r>
      <w:r>
        <w:rPr>
          <w:rFonts w:hint="eastAsia"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职务职级晋升工资</w:t>
      </w:r>
      <w:r>
        <w:rPr>
          <w:rFonts w:hint="eastAsia" w:ascii="仿宋_GB2312" w:eastAsia="仿宋_GB2312"/>
          <w:sz w:val="32"/>
          <w:szCs w:val="32"/>
        </w:rPr>
        <w:t>调标增资</w:t>
      </w:r>
      <w:r>
        <w:rPr>
          <w:rFonts w:hint="eastAsia" w:ascii="仿宋_GB2312" w:eastAsia="仿宋_GB2312"/>
          <w:sz w:val="32"/>
          <w:szCs w:val="32"/>
          <w:lang w:eastAsia="zh-CN"/>
        </w:rPr>
        <w:t>，</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outlineLvl w:val="1"/>
        <w:rPr>
          <w:rFonts w:eastAsia="仿宋_GB2312"/>
          <w:sz w:val="32"/>
          <w:szCs w:val="32"/>
          <w:lang w:val="zh-CN"/>
        </w:rPr>
      </w:pPr>
      <w:r>
        <w:rPr>
          <w:rFonts w:hint="eastAsia" w:eastAsia="仿宋_GB2312"/>
          <w:sz w:val="32"/>
          <w:szCs w:val="32"/>
        </w:rPr>
        <w:t>5.住房保障支出（类）住房改革支出（款）住房公积金（项）:支出决算数为7.44万元，比上年决算增加1.27万元，增长20.51%，主要原因是：</w:t>
      </w:r>
      <w:r>
        <w:rPr>
          <w:rFonts w:hint="eastAsia" w:ascii="仿宋_GB2312" w:eastAsia="仿宋_GB2312"/>
          <w:sz w:val="32"/>
          <w:szCs w:val="32"/>
        </w:rPr>
        <w:t>202</w:t>
      </w:r>
      <w:r>
        <w:rPr>
          <w:rFonts w:hint="eastAsia" w:ascii="仿宋_GB2312" w:eastAsia="仿宋_GB2312"/>
          <w:sz w:val="32"/>
          <w:szCs w:val="32"/>
          <w:lang w:val="en-US" w:eastAsia="zh-CN"/>
        </w:rPr>
        <w:t>3年度人员职务职级晋升，工资调标，</w:t>
      </w:r>
      <w:r>
        <w:rPr>
          <w:rFonts w:hint="eastAsia" w:ascii="仿宋_GB2312" w:eastAsia="仿宋_GB2312"/>
          <w:sz w:val="32"/>
          <w:szCs w:val="32"/>
        </w:rPr>
        <w:t>住房公积金基数上调，缴费金额增加</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6.社会保障和就业支出（类）行政事业单位养老支出（款）机关事业单位基本养老保险缴费支出（项）:支出决算数为9.19万元，比上年决算增加1.67万元，增长22.26%，主要原因是：</w:t>
      </w:r>
      <w:r>
        <w:rPr>
          <w:rFonts w:hint="eastAsia" w:eastAsia="仿宋_GB2312"/>
          <w:sz w:val="32"/>
          <w:szCs w:val="32"/>
          <w:lang w:val="en-US" w:eastAsia="zh-CN"/>
        </w:rPr>
        <w:t>2023年度</w:t>
      </w:r>
      <w:r>
        <w:rPr>
          <w:rFonts w:hint="eastAsia" w:ascii="仿宋_GB2312" w:eastAsia="仿宋_GB2312"/>
          <w:sz w:val="32"/>
          <w:szCs w:val="32"/>
        </w:rPr>
        <w:t>人员</w:t>
      </w:r>
      <w:r>
        <w:rPr>
          <w:rFonts w:hint="eastAsia" w:ascii="仿宋_GB2312" w:eastAsia="仿宋_GB2312"/>
          <w:sz w:val="32"/>
          <w:szCs w:val="32"/>
          <w:lang w:val="en-US" w:eastAsia="zh-CN"/>
        </w:rPr>
        <w:t>工资</w:t>
      </w:r>
      <w:r>
        <w:rPr>
          <w:rFonts w:hint="eastAsia" w:ascii="仿宋_GB2312" w:eastAsia="仿宋_GB2312"/>
          <w:sz w:val="32"/>
          <w:szCs w:val="32"/>
        </w:rPr>
        <w:t>调标增资</w:t>
      </w:r>
      <w:r>
        <w:rPr>
          <w:rFonts w:hint="eastAsia" w:ascii="仿宋_GB2312" w:eastAsia="仿宋_GB2312"/>
          <w:sz w:val="32"/>
          <w:szCs w:val="32"/>
          <w:lang w:eastAsia="zh-CN"/>
        </w:rPr>
        <w:t>，</w:t>
      </w:r>
      <w:r>
        <w:rPr>
          <w:rFonts w:hint="eastAsia" w:ascii="仿宋_GB2312" w:eastAsia="仿宋_GB2312"/>
          <w:sz w:val="32"/>
          <w:szCs w:val="32"/>
        </w:rPr>
        <w:t>社保基数上调缴费金额增加</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107.25万元，其中：人员经费101.68万元，包括：基本工资、津贴补贴、奖金、机关事业单位基本养老保险缴费、职工基本医疗保险缴费、公务员医疗补助缴费、其他社会保障缴费、住房公积金、其他工资福利支出。</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公用经费5.57万元，包括：办公费、邮电费、取暖费、差旅费、工会经费、福利费、其他交通费用</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我单位本年度无公务用车购置及运行维护费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固定资产车辆中</w:t>
      </w:r>
      <w:r>
        <w:rPr>
          <w:rFonts w:hint="eastAsia" w:ascii="仿宋_GB2312" w:eastAsia="仿宋_GB2312"/>
          <w:sz w:val="32"/>
          <w:szCs w:val="32"/>
          <w:lang w:val="en-US" w:eastAsia="zh-CN"/>
        </w:rPr>
        <w:t>1辆执法执勤用车、1辆其他车辆，均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w:t>
      </w:r>
      <w:r>
        <w:rPr>
          <w:rFonts w:hint="eastAsia" w:ascii="仿宋_GB2312" w:eastAsia="仿宋_GB2312"/>
          <w:sz w:val="32"/>
          <w:szCs w:val="32"/>
          <w:lang w:val="en-US" w:eastAsia="zh-CN"/>
        </w:rPr>
        <w:t>“三公”经</w:t>
      </w:r>
      <w:bookmarkStart w:id="48" w:name="_GoBack"/>
      <w:bookmarkEnd w:id="48"/>
      <w:r>
        <w:rPr>
          <w:rFonts w:hint="eastAsia" w:ascii="仿宋_GB2312" w:eastAsia="仿宋_GB2312"/>
          <w:sz w:val="32"/>
          <w:szCs w:val="32"/>
          <w:lang w:val="en-US" w:eastAsia="zh-CN"/>
        </w:rPr>
        <w:t>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我单位本年度无公务用车运行费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6704"/>
      <w:bookmarkStart w:id="25" w:name="_Toc227"/>
      <w:r>
        <w:rPr>
          <w:rFonts w:hint="eastAsia" w:eastAsia="仿宋_GB2312"/>
          <w:sz w:val="32"/>
          <w:szCs w:val="32"/>
          <w:lang w:val="zh-CN"/>
        </w:rPr>
        <w:t>2023年度</w:t>
      </w:r>
      <w:r>
        <w:rPr>
          <w:rFonts w:hint="eastAsia" w:eastAsia="仿宋_GB2312"/>
          <w:sz w:val="32"/>
          <w:szCs w:val="32"/>
        </w:rPr>
        <w:t>岳普湖县国土资源执法监察大队（参照公务员法管理事业单位）机关运行经费支出5.57万元，比上年增加0.04万元，增长0.76%,主要原因是：</w:t>
      </w:r>
      <w:r>
        <w:rPr>
          <w:rFonts w:hint="eastAsia" w:eastAsia="仿宋_GB2312"/>
          <w:sz w:val="32"/>
          <w:szCs w:val="32"/>
          <w:lang w:val="en-US" w:eastAsia="zh-CN"/>
        </w:rPr>
        <w:t>工作业务增加，</w:t>
      </w:r>
      <w:r>
        <w:rPr>
          <w:rFonts w:hint="eastAsia" w:eastAsia="仿宋_GB2312"/>
          <w:sz w:val="32"/>
          <w:szCs w:val="32"/>
        </w:rPr>
        <w:t>机关运行经费</w:t>
      </w:r>
      <w:r>
        <w:rPr>
          <w:rFonts w:hint="eastAsia" w:eastAsia="仿宋_GB2312"/>
          <w:sz w:val="32"/>
          <w:szCs w:val="32"/>
          <w:lang w:val="en-US" w:eastAsia="zh-CN"/>
        </w:rPr>
        <w:t>增加</w:t>
      </w:r>
      <w:r>
        <w:rPr>
          <w:rFonts w:hint="eastAsia"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63.64</w:t>
      </w:r>
      <w:r>
        <w:rPr>
          <w:rFonts w:hint="eastAsia" w:eastAsia="仿宋_GB2312"/>
          <w:sz w:val="32"/>
          <w:szCs w:val="32"/>
        </w:rPr>
        <w:t>万元，房</w:t>
      </w:r>
      <w:r>
        <w:rPr>
          <w:rFonts w:hint="eastAsia" w:eastAsia="仿宋_GB2312"/>
          <w:sz w:val="32"/>
          <w:szCs w:val="32"/>
          <w:lang w:val="zh-CN"/>
        </w:rPr>
        <w:t>屋75.99平方米，价值12.54万元。车辆2辆，价值32.08万元，其中：副部（省）级及以上领导用车0辆、主要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both"/>
        <w:outlineLvl w:val="0"/>
        <w:rPr>
          <w:rFonts w:ascii="黑体" w:hAnsi="黑体" w:eastAsia="黑体"/>
          <w:sz w:val="32"/>
          <w:szCs w:val="32"/>
        </w:rPr>
      </w:pPr>
      <w:bookmarkStart w:id="30" w:name="_Toc3250"/>
      <w:bookmarkStart w:id="31" w:name="_Toc24143"/>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B344A9"/>
    <w:rsid w:val="000F5F17"/>
    <w:rsid w:val="001A4B32"/>
    <w:rsid w:val="00213C59"/>
    <w:rsid w:val="003210CE"/>
    <w:rsid w:val="00B344A9"/>
    <w:rsid w:val="00B70D59"/>
    <w:rsid w:val="00F52A8D"/>
    <w:rsid w:val="019404F8"/>
    <w:rsid w:val="02BD3108"/>
    <w:rsid w:val="02F73D26"/>
    <w:rsid w:val="030575EC"/>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12833"/>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2A1D08"/>
    <w:rsid w:val="0C3613A3"/>
    <w:rsid w:val="0C5E519C"/>
    <w:rsid w:val="0C7227A7"/>
    <w:rsid w:val="0CA52EE8"/>
    <w:rsid w:val="0CBD6988"/>
    <w:rsid w:val="0CD208AC"/>
    <w:rsid w:val="0D4903E8"/>
    <w:rsid w:val="0D7A4A46"/>
    <w:rsid w:val="0E640559"/>
    <w:rsid w:val="0F1113DA"/>
    <w:rsid w:val="0F78534A"/>
    <w:rsid w:val="0F861E9C"/>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96149C"/>
    <w:rsid w:val="16D50C50"/>
    <w:rsid w:val="16E120E1"/>
    <w:rsid w:val="17385A05"/>
    <w:rsid w:val="173B3901"/>
    <w:rsid w:val="176747F9"/>
    <w:rsid w:val="17954A6E"/>
    <w:rsid w:val="180059E9"/>
    <w:rsid w:val="184510FD"/>
    <w:rsid w:val="186643C6"/>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905640"/>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2028A4"/>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5C5BE0"/>
    <w:rsid w:val="4A0A26D2"/>
    <w:rsid w:val="4A2019A5"/>
    <w:rsid w:val="4A241A0B"/>
    <w:rsid w:val="4A7B2875"/>
    <w:rsid w:val="4A934476"/>
    <w:rsid w:val="4AAA220A"/>
    <w:rsid w:val="4AE12E67"/>
    <w:rsid w:val="4B4C0111"/>
    <w:rsid w:val="4B7A60BF"/>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32FE1"/>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93795E"/>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3EB5689"/>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D95EBC"/>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371456"/>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5092</Words>
  <Characters>5683</Characters>
  <Lines>54</Lines>
  <Paragraphs>15</Paragraphs>
  <TotalTime>0</TotalTime>
  <ScaleCrop>false</ScaleCrop>
  <LinksUpToDate>false</LinksUpToDate>
  <CharactersWithSpaces>5706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2024-08-13T03:20:00Z</dcterms:created>
  <dc:creator>GXR</dc:creator>
  <cp:lastModifiedBy>Administrator</cp:lastModifiedBy>
  <dcterms:modified xsi:type="dcterms:W3CDTF">2024-09-07T22:55:50Z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