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英吉沙县国土资源执法监察大队</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jc w:val="left"/>
        <w:rPr>
          <w:rFonts w:hint="eastAsia" w:ascii="仿宋_GB2312" w:eastAsia="仿宋_GB2312"/>
          <w:sz w:val="32"/>
          <w:szCs w:val="32"/>
          <w:lang w:val="en-US" w:eastAsia="zh-CN"/>
        </w:rPr>
      </w:pPr>
      <w:bookmarkStart w:id="4" w:name="_Toc31238"/>
      <w:bookmarkStart w:id="5" w:name="_Toc2151"/>
      <w:r>
        <w:rPr>
          <w:rFonts w:hint="eastAsia" w:ascii="仿宋_GB2312" w:eastAsia="仿宋_GB2312"/>
          <w:sz w:val="32"/>
          <w:szCs w:val="32"/>
          <w:lang w:val="en-US" w:eastAsia="zh-CN"/>
        </w:rPr>
        <w:t>英吉沙县国土资源执法监察大队，为自治区自然资源厅下属四级预算单位，参照公务员法管理的事业单位。实行垂直管理，统一履行英吉沙县国土资源执法监察大队职能。</w:t>
      </w:r>
    </w:p>
    <w:p>
      <w:pPr>
        <w:ind w:firstLine="640" w:firstLineChars="200"/>
        <w:jc w:val="left"/>
        <w:rPr>
          <w:rFonts w:hint="eastAsia" w:ascii="仿宋_GB2312" w:eastAsia="仿宋_GB2312"/>
          <w:sz w:val="32"/>
          <w:szCs w:val="32"/>
        </w:rPr>
      </w:pPr>
      <w:bookmarkStart w:id="6" w:name="bookmark3"/>
      <w:bookmarkEnd w:id="6"/>
      <w:r>
        <w:rPr>
          <w:rFonts w:hint="eastAsia" w:ascii="仿宋_GB2312" w:eastAsia="仿宋_GB2312"/>
          <w:sz w:val="32"/>
          <w:szCs w:val="32"/>
          <w:lang w:val="en-US" w:eastAsia="zh-CN"/>
        </w:rPr>
        <w:t>1、</w:t>
      </w:r>
      <w:r>
        <w:rPr>
          <w:rFonts w:hint="eastAsia" w:ascii="仿宋_GB2312" w:eastAsia="仿宋_GB2312"/>
          <w:sz w:val="32"/>
          <w:szCs w:val="32"/>
        </w:rPr>
        <w:t>宣传和贯彻执行国家、自治区有关土地、矿产资源的法律、法规、规章和</w:t>
      </w:r>
      <w:r>
        <w:rPr>
          <w:rFonts w:hint="eastAsia" w:ascii="仿宋_GB2312" w:eastAsia="仿宋_GB2312"/>
          <w:sz w:val="32"/>
          <w:szCs w:val="32"/>
          <w:lang w:eastAsia="zh-CN"/>
        </w:rPr>
        <w:t>制度</w:t>
      </w:r>
      <w:r>
        <w:rPr>
          <w:rFonts w:hint="eastAsia" w:ascii="仿宋_GB2312" w:eastAsia="仿宋_GB2312"/>
          <w:sz w:val="32"/>
          <w:szCs w:val="32"/>
        </w:rPr>
        <w:t>。</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组织和实施对</w:t>
      </w:r>
      <w:r>
        <w:rPr>
          <w:rFonts w:hint="eastAsia" w:ascii="仿宋_GB2312" w:eastAsia="仿宋_GB2312"/>
          <w:sz w:val="32"/>
          <w:szCs w:val="32"/>
          <w:lang w:eastAsia="zh-CN"/>
        </w:rPr>
        <w:t>所辖区</w:t>
      </w:r>
      <w:r>
        <w:rPr>
          <w:rFonts w:hint="eastAsia" w:ascii="仿宋_GB2312" w:eastAsia="仿宋_GB2312"/>
          <w:sz w:val="32"/>
          <w:szCs w:val="32"/>
        </w:rPr>
        <w:t>执行土地、矿产资源法律、法规、规章情况的巡查，及时发现和制止土地、矿产资源违法行为。</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依法组织和实施重大土地、矿产资源违法案件的调查、取证、现场勘验工作，并进行查处。</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4、</w:t>
      </w:r>
      <w:r>
        <w:rPr>
          <w:rFonts w:hint="eastAsia" w:ascii="仿宋_GB2312" w:eastAsia="仿宋_GB2312"/>
          <w:sz w:val="32"/>
          <w:szCs w:val="32"/>
        </w:rPr>
        <w:t>负责重大土地、矿产资源</w:t>
      </w:r>
      <w:r>
        <w:rPr>
          <w:rFonts w:hint="eastAsia" w:ascii="仿宋_GB2312" w:eastAsia="仿宋_GB2312"/>
          <w:sz w:val="32"/>
          <w:szCs w:val="32"/>
          <w:lang w:eastAsia="zh-CN"/>
        </w:rPr>
        <w:t>卫片</w:t>
      </w:r>
      <w:r>
        <w:rPr>
          <w:rFonts w:hint="eastAsia" w:ascii="仿宋_GB2312" w:eastAsia="仿宋_GB2312"/>
          <w:sz w:val="32"/>
          <w:szCs w:val="32"/>
        </w:rPr>
        <w:t>违法</w:t>
      </w:r>
      <w:r>
        <w:rPr>
          <w:rFonts w:hint="eastAsia" w:ascii="仿宋_GB2312" w:eastAsia="仿宋_GB2312"/>
          <w:sz w:val="32"/>
          <w:szCs w:val="32"/>
          <w:lang w:eastAsia="zh-CN"/>
        </w:rPr>
        <w:t>图</w:t>
      </w:r>
      <w:r>
        <w:rPr>
          <w:rFonts w:hint="eastAsia" w:ascii="仿宋_GB2312" w:eastAsia="仿宋_GB2312"/>
          <w:sz w:val="32"/>
          <w:szCs w:val="32"/>
          <w:lang w:val="en-US" w:eastAsia="zh-CN"/>
        </w:rPr>
        <w:t>斑</w:t>
      </w:r>
      <w:r>
        <w:rPr>
          <w:rFonts w:hint="eastAsia" w:ascii="仿宋_GB2312" w:eastAsia="仿宋_GB2312"/>
          <w:sz w:val="32"/>
          <w:szCs w:val="32"/>
          <w:lang w:eastAsia="zh-CN"/>
        </w:rPr>
        <w:t>的</w:t>
      </w:r>
      <w:r>
        <w:rPr>
          <w:rFonts w:hint="eastAsia" w:ascii="仿宋_GB2312" w:eastAsia="仿宋_GB2312"/>
          <w:sz w:val="32"/>
          <w:szCs w:val="32"/>
        </w:rPr>
        <w:t>查处。</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5、</w:t>
      </w:r>
      <w:r>
        <w:rPr>
          <w:rFonts w:hint="eastAsia" w:ascii="仿宋_GB2312" w:eastAsia="仿宋_GB2312"/>
          <w:sz w:val="32"/>
          <w:szCs w:val="32"/>
        </w:rPr>
        <w:t>负责</w:t>
      </w:r>
      <w:r>
        <w:rPr>
          <w:rFonts w:hint="eastAsia" w:ascii="仿宋_GB2312" w:eastAsia="仿宋_GB2312"/>
          <w:sz w:val="32"/>
          <w:szCs w:val="32"/>
          <w:lang w:eastAsia="zh-CN"/>
        </w:rPr>
        <w:t>本县</w:t>
      </w:r>
      <w:r>
        <w:rPr>
          <w:rFonts w:hint="eastAsia" w:ascii="仿宋_GB2312" w:eastAsia="仿宋_GB2312"/>
          <w:sz w:val="32"/>
          <w:szCs w:val="32"/>
        </w:rPr>
        <w:t>国土资源执法监察队伍建设，统一管理机构编制、人员、经费。</w:t>
      </w:r>
    </w:p>
    <w:p>
      <w:pPr>
        <w:ind w:firstLine="640" w:firstLineChars="200"/>
        <w:jc w:val="left"/>
        <w:rPr>
          <w:rStyle w:val="11"/>
          <w:rFonts w:hint="eastAsia" w:ascii="仿宋" w:hAnsi="仿宋" w:eastAsia="仿宋" w:cs="仿宋"/>
          <w:b w:val="0"/>
          <w:color w:val="auto"/>
          <w:spacing w:val="-4"/>
          <w:sz w:val="32"/>
          <w:szCs w:val="32"/>
          <w:highlight w:val="none"/>
          <w:shd w:val="clear" w:color="auto" w:fill="auto"/>
        </w:rPr>
      </w:pPr>
      <w:r>
        <w:rPr>
          <w:rFonts w:hint="eastAsia" w:ascii="仿宋_GB2312" w:eastAsia="仿宋_GB2312"/>
          <w:sz w:val="32"/>
          <w:szCs w:val="32"/>
          <w:lang w:val="en-US" w:eastAsia="zh-CN"/>
        </w:rPr>
        <w:t>6、</w:t>
      </w:r>
      <w:r>
        <w:rPr>
          <w:rFonts w:hint="eastAsia" w:ascii="仿宋_GB2312" w:eastAsia="仿宋_GB2312"/>
          <w:sz w:val="32"/>
          <w:szCs w:val="32"/>
        </w:rPr>
        <w:t>完成自治区党委、政府和上级国土资源管理部门交办的其他工作。</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英吉沙县国土资源执法监察大队2023年度，实有人数</w:t>
      </w:r>
      <w:r>
        <w:rPr>
          <w:rFonts w:hint="eastAsia" w:ascii="仿宋_GB2312" w:eastAsia="仿宋_GB2312"/>
          <w:sz w:val="32"/>
          <w:szCs w:val="32"/>
          <w:lang w:val="zh-CN"/>
        </w:rPr>
        <w:t>6</w:t>
      </w:r>
      <w:r>
        <w:rPr>
          <w:rFonts w:hint="eastAsia" w:ascii="仿宋_GB2312" w:eastAsia="仿宋_GB2312"/>
          <w:sz w:val="32"/>
          <w:szCs w:val="32"/>
        </w:rPr>
        <w:t>人，其中：在职人员</w:t>
      </w:r>
      <w:r>
        <w:rPr>
          <w:rFonts w:hint="eastAsia" w:ascii="仿宋_GB2312" w:eastAsia="仿宋_GB2312"/>
          <w:sz w:val="32"/>
          <w:szCs w:val="32"/>
          <w:lang w:val="zh-CN"/>
        </w:rPr>
        <w:t>4</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w:t>
      </w:r>
      <w:r>
        <w:rPr>
          <w:rFonts w:hint="eastAsia" w:ascii="仿宋_GB2312" w:eastAsia="仿宋_GB2312"/>
          <w:sz w:val="32"/>
          <w:szCs w:val="32"/>
        </w:rPr>
        <w:t>人。</w:t>
      </w:r>
    </w:p>
    <w:p>
      <w:pPr>
        <w:ind w:firstLine="640" w:firstLineChars="200"/>
        <w:rPr>
          <w:rFonts w:hint="eastAsia" w:ascii="仿宋_GB2312" w:hAnsi="宋体" w:eastAsia="仿宋_GB2312" w:cs="宋体"/>
          <w:kern w:val="0"/>
          <w:sz w:val="32"/>
          <w:szCs w:val="32"/>
        </w:rPr>
      </w:pPr>
      <w:r>
        <w:rPr>
          <w:rFonts w:hint="eastAsia" w:ascii="仿宋_GB2312" w:hAnsi="黑体" w:eastAsia="仿宋_GB2312" w:cs="宋体"/>
          <w:bCs/>
          <w:kern w:val="0"/>
          <w:sz w:val="32"/>
          <w:szCs w:val="32"/>
          <w:highlight w:val="none"/>
        </w:rPr>
        <w:t>单位无下属预算单位</w:t>
      </w:r>
      <w:r>
        <w:rPr>
          <w:rFonts w:hint="eastAsia" w:ascii="仿宋_GB2312" w:hAnsi="黑体" w:eastAsia="仿宋_GB2312" w:cs="宋体"/>
          <w:bCs/>
          <w:kern w:val="0"/>
          <w:sz w:val="32"/>
          <w:szCs w:val="32"/>
          <w:highlight w:val="none"/>
          <w:lang w:eastAsia="zh-CN"/>
        </w:rPr>
        <w:t>，</w:t>
      </w:r>
      <w:r>
        <w:rPr>
          <w:rFonts w:hint="eastAsia" w:ascii="仿宋_GB2312" w:hAnsi="黑体" w:eastAsia="仿宋_GB2312" w:cs="宋体"/>
          <w:bCs/>
          <w:kern w:val="0"/>
          <w:sz w:val="32"/>
          <w:szCs w:val="32"/>
          <w:highlight w:val="none"/>
        </w:rPr>
        <w:t>下设</w:t>
      </w:r>
      <w:r>
        <w:rPr>
          <w:rFonts w:hint="eastAsia" w:ascii="仿宋_GB2312" w:eastAsia="仿宋_GB2312"/>
          <w:sz w:val="32"/>
          <w:szCs w:val="32"/>
          <w:highlight w:val="none"/>
          <w:lang w:val="en-US" w:eastAsia="zh-CN"/>
        </w:rPr>
        <w:t>1</w:t>
      </w:r>
      <w:r>
        <w:rPr>
          <w:rFonts w:hint="eastAsia" w:ascii="仿宋_GB2312" w:hAnsi="黑体" w:eastAsia="仿宋_GB2312" w:cs="宋体"/>
          <w:bCs/>
          <w:kern w:val="0"/>
          <w:sz w:val="32"/>
          <w:szCs w:val="32"/>
          <w:highlight w:val="none"/>
        </w:rPr>
        <w:t>个处室，分别是：</w:t>
      </w:r>
      <w:r>
        <w:rPr>
          <w:rFonts w:hint="eastAsia" w:ascii="仿宋_GB2312" w:hAnsi="黑体" w:eastAsia="仿宋_GB2312" w:cs="宋体"/>
          <w:bCs/>
          <w:kern w:val="0"/>
          <w:sz w:val="32"/>
          <w:szCs w:val="32"/>
        </w:rPr>
        <w:t>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pPr>
        <w:jc w:val="center"/>
        <w:outlineLvl w:val="0"/>
        <w:rPr>
          <w:rFonts w:ascii="黑体" w:hAnsi="黑体" w:eastAsia="黑体"/>
          <w:sz w:val="32"/>
          <w:szCs w:val="32"/>
        </w:rPr>
      </w:pPr>
      <w:bookmarkStart w:id="7" w:name="_Toc29374"/>
      <w:bookmarkStart w:id="8" w:name="_Toc3092"/>
      <w:r>
        <w:rPr>
          <w:rFonts w:hint="eastAsia" w:ascii="黑体" w:hAnsi="黑体" w:eastAsia="黑体"/>
          <w:sz w:val="32"/>
          <w:szCs w:val="32"/>
        </w:rPr>
        <w:t>第二部分 部门决算情况说明</w:t>
      </w:r>
      <w:bookmarkEnd w:id="7"/>
      <w:bookmarkEnd w:id="8"/>
    </w:p>
    <w:p>
      <w:pPr>
        <w:ind w:firstLine="640" w:firstLineChars="200"/>
        <w:outlineLvl w:val="1"/>
        <w:rPr>
          <w:rFonts w:ascii="黑体" w:hAnsi="黑体" w:eastAsia="黑体" w:cs="宋体"/>
          <w:bCs/>
          <w:kern w:val="0"/>
          <w:sz w:val="32"/>
          <w:szCs w:val="32"/>
        </w:rPr>
      </w:pPr>
      <w:bookmarkStart w:id="9" w:name="_Toc12566"/>
      <w:bookmarkStart w:id="10" w:name="_Toc25314"/>
      <w:r>
        <w:rPr>
          <w:rFonts w:hint="eastAsia" w:ascii="黑体" w:hAnsi="黑体" w:eastAsia="黑体" w:cs="宋体"/>
          <w:bCs/>
          <w:kern w:val="0"/>
          <w:sz w:val="32"/>
          <w:szCs w:val="32"/>
        </w:rPr>
        <w:t>一、收入支出决算总体情况说明</w:t>
      </w:r>
      <w:bookmarkEnd w:id="9"/>
      <w:bookmarkEnd w:id="10"/>
    </w:p>
    <w:p>
      <w:pPr>
        <w:ind w:firstLine="640" w:firstLineChars="200"/>
        <w:jc w:val="left"/>
        <w:rPr>
          <w:rFonts w:ascii="仿宋_GB2312" w:eastAsia="仿宋_GB2312"/>
          <w:sz w:val="32"/>
          <w:szCs w:val="32"/>
        </w:rPr>
      </w:pPr>
      <w:r>
        <w:rPr>
          <w:rFonts w:hint="eastAsia" w:ascii="仿宋_GB2312" w:eastAsia="仿宋_GB2312"/>
          <w:sz w:val="32"/>
          <w:szCs w:val="32"/>
        </w:rPr>
        <w:t>2023年度收入总计117.07万元，其中：本年收入合计115.38万元，使用非财政拨款结余0.00万元，年初结转和结余1.69万元。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2023年度支出总计117.07万元，其中：本年支出合计117.05万元，结余分配0.00万元，年末结转和结余0.02万元。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减少2.97万元</w:t>
      </w:r>
      <w:r>
        <w:rPr>
          <w:rFonts w:hint="eastAsia" w:ascii="仿宋_GB2312" w:eastAsia="仿宋_GB2312"/>
          <w:sz w:val="32"/>
          <w:szCs w:val="32"/>
        </w:rPr>
        <w:t>，下降2.47%，主要原因是：调出1人，经费收入</w:t>
      </w:r>
      <w:r>
        <w:rPr>
          <w:rFonts w:hint="eastAsia" w:ascii="仿宋_GB2312" w:eastAsia="仿宋_GB2312"/>
          <w:sz w:val="32"/>
          <w:szCs w:val="32"/>
          <w:lang w:val="en-US" w:eastAsia="zh-CN"/>
        </w:rPr>
        <w:t>支出</w:t>
      </w:r>
      <w:r>
        <w:rPr>
          <w:rFonts w:hint="eastAsia" w:ascii="仿宋_GB2312" w:eastAsia="仿宋_GB2312"/>
          <w:sz w:val="32"/>
          <w:szCs w:val="32"/>
        </w:rPr>
        <w:t>减少。</w:t>
      </w:r>
    </w:p>
    <w:p>
      <w:pPr>
        <w:ind w:firstLine="640" w:firstLineChars="200"/>
        <w:jc w:val="left"/>
        <w:outlineLvl w:val="1"/>
        <w:rPr>
          <w:rFonts w:ascii="黑体" w:hAnsi="黑体" w:eastAsia="黑体" w:cs="宋体"/>
          <w:bCs/>
          <w:kern w:val="0"/>
          <w:sz w:val="32"/>
          <w:szCs w:val="32"/>
        </w:rPr>
      </w:pPr>
      <w:bookmarkStart w:id="11" w:name="_Toc12142"/>
      <w:bookmarkStart w:id="12" w:name="_Toc1979"/>
      <w:r>
        <w:rPr>
          <w:rFonts w:hint="eastAsia" w:ascii="黑体" w:hAnsi="黑体" w:eastAsia="黑体" w:cs="宋体"/>
          <w:bCs/>
          <w:kern w:val="0"/>
          <w:sz w:val="32"/>
          <w:szCs w:val="32"/>
        </w:rPr>
        <w:t>二、收入决算情况说明</w:t>
      </w:r>
      <w:bookmarkEnd w:id="11"/>
      <w:bookmarkEnd w:id="12"/>
    </w:p>
    <w:p>
      <w:pPr>
        <w:ind w:firstLine="640" w:firstLineChars="200"/>
        <w:jc w:val="left"/>
        <w:rPr>
          <w:rFonts w:ascii="仿宋_GB2312" w:eastAsia="仿宋_GB2312"/>
          <w:sz w:val="32"/>
          <w:szCs w:val="32"/>
        </w:rPr>
      </w:pPr>
      <w:r>
        <w:rPr>
          <w:rFonts w:hint="eastAsia" w:ascii="仿宋_GB2312" w:eastAsia="仿宋_GB2312"/>
          <w:sz w:val="32"/>
          <w:szCs w:val="32"/>
        </w:rPr>
        <w:t>本年收入115.38万元，其中：财政拨款收入</w:t>
      </w:r>
      <w:r>
        <w:rPr>
          <w:rFonts w:hint="eastAsia" w:ascii="仿宋_GB2312" w:eastAsia="仿宋_GB2312"/>
          <w:sz w:val="32"/>
          <w:szCs w:val="32"/>
          <w:lang w:val="zh-CN"/>
        </w:rPr>
        <w:t>115.36</w:t>
      </w:r>
      <w:r>
        <w:rPr>
          <w:rFonts w:hint="eastAsia" w:ascii="仿宋_GB2312" w:eastAsia="仿宋_GB2312"/>
          <w:sz w:val="32"/>
          <w:szCs w:val="32"/>
        </w:rPr>
        <w:t>万元，占</w:t>
      </w:r>
      <w:r>
        <w:rPr>
          <w:rFonts w:hint="eastAsia" w:ascii="仿宋_GB2312" w:eastAsia="仿宋_GB2312"/>
          <w:sz w:val="32"/>
          <w:szCs w:val="32"/>
          <w:lang w:val="zh-CN"/>
        </w:rPr>
        <w:t>99.98</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0.02</w:t>
      </w:r>
      <w:r>
        <w:rPr>
          <w:rFonts w:hint="eastAsia" w:ascii="仿宋_GB2312" w:eastAsia="仿宋_GB2312"/>
          <w:sz w:val="32"/>
          <w:szCs w:val="32"/>
        </w:rPr>
        <w:t>万元，占</w:t>
      </w:r>
      <w:r>
        <w:rPr>
          <w:rFonts w:hint="eastAsia" w:ascii="仿宋_GB2312" w:eastAsia="仿宋_GB2312"/>
          <w:sz w:val="32"/>
          <w:szCs w:val="32"/>
          <w:lang w:val="zh-CN"/>
        </w:rPr>
        <w:t>0.02</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3" w:name="_Toc13201"/>
      <w:bookmarkStart w:id="14" w:name="_Toc27961"/>
      <w:r>
        <w:rPr>
          <w:rFonts w:hint="eastAsia" w:ascii="黑体" w:hAnsi="黑体" w:eastAsia="黑体" w:cs="宋体"/>
          <w:bCs/>
          <w:kern w:val="0"/>
          <w:sz w:val="32"/>
          <w:szCs w:val="32"/>
        </w:rPr>
        <w:t>三、支出决算情况说明</w:t>
      </w:r>
      <w:bookmarkEnd w:id="13"/>
      <w:bookmarkEnd w:id="14"/>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本年支出117.05万元，其中：基本支出87.38万元，占74.65%；项目支出29.67万元，占25.35%；上缴上级支出0.00万元，占0.00%；经营支出0.00万元，占0.00%；对附属单位补助支出0.00万元，占0.00%。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5" w:name="_Toc4393"/>
      <w:bookmarkStart w:id="16" w:name="_Toc26564"/>
      <w:r>
        <w:rPr>
          <w:rFonts w:hint="eastAsia" w:ascii="黑体" w:hAnsi="黑体" w:eastAsia="黑体" w:cs="宋体"/>
          <w:bCs/>
          <w:kern w:val="0"/>
          <w:sz w:val="32"/>
          <w:szCs w:val="32"/>
        </w:rPr>
        <w:t>四、财政拨款收入支出决算总体情况说明</w:t>
      </w:r>
      <w:bookmarkEnd w:id="15"/>
      <w:bookmarkEnd w:id="16"/>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117.05</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1.69</w:t>
      </w:r>
      <w:r>
        <w:rPr>
          <w:rFonts w:hint="eastAsia" w:ascii="仿宋_GB2312" w:eastAsia="仿宋_GB2312"/>
          <w:sz w:val="32"/>
          <w:szCs w:val="32"/>
        </w:rPr>
        <w:t>万元，本年财政拨款收入</w:t>
      </w:r>
      <w:r>
        <w:rPr>
          <w:rFonts w:hint="eastAsia" w:ascii="仿宋_GB2312" w:eastAsia="仿宋_GB2312"/>
          <w:sz w:val="32"/>
          <w:szCs w:val="32"/>
          <w:lang w:val="zh-CN"/>
        </w:rPr>
        <w:t>115.36</w:t>
      </w:r>
      <w:r>
        <w:rPr>
          <w:rFonts w:hint="eastAsia" w:ascii="仿宋_GB2312" w:eastAsia="仿宋_GB2312"/>
          <w:sz w:val="32"/>
          <w:szCs w:val="32"/>
        </w:rPr>
        <w:t>万元。财政拨款支出总计</w:t>
      </w:r>
      <w:r>
        <w:rPr>
          <w:rFonts w:hint="eastAsia" w:ascii="仿宋_GB2312" w:eastAsia="仿宋_GB2312"/>
          <w:sz w:val="32"/>
          <w:szCs w:val="32"/>
          <w:lang w:val="zh-CN"/>
        </w:rPr>
        <w:t>117.05</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0.02</w:t>
      </w:r>
      <w:r>
        <w:rPr>
          <w:rFonts w:hint="eastAsia" w:ascii="仿宋_GB2312" w:eastAsia="仿宋_GB2312"/>
          <w:sz w:val="32"/>
          <w:szCs w:val="32"/>
        </w:rPr>
        <w:t>万元，本年财政拨款支出</w:t>
      </w:r>
      <w:r>
        <w:rPr>
          <w:rFonts w:hint="eastAsia" w:ascii="仿宋_GB2312" w:eastAsia="仿宋_GB2312"/>
          <w:sz w:val="32"/>
          <w:szCs w:val="32"/>
          <w:lang w:val="zh-CN"/>
        </w:rPr>
        <w:t>117.03</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减少2.96万元</w:t>
      </w:r>
      <w:r>
        <w:rPr>
          <w:rFonts w:hint="eastAsia" w:ascii="仿宋_GB2312" w:eastAsia="仿宋_GB2312"/>
          <w:sz w:val="32"/>
          <w:szCs w:val="32"/>
        </w:rPr>
        <w:t>，</w:t>
      </w:r>
      <w:r>
        <w:rPr>
          <w:rFonts w:hint="eastAsia" w:ascii="仿宋_GB2312" w:eastAsia="仿宋_GB2312"/>
          <w:sz w:val="32"/>
          <w:szCs w:val="32"/>
          <w:lang w:val="zh-CN"/>
        </w:rPr>
        <w:t>下降2.46%，</w:t>
      </w:r>
      <w:r>
        <w:rPr>
          <w:rFonts w:hint="eastAsia" w:ascii="仿宋_GB2312" w:eastAsia="仿宋_GB2312"/>
          <w:sz w:val="32"/>
          <w:szCs w:val="32"/>
        </w:rPr>
        <w:t>主要原因是：调出1人，经费收入</w:t>
      </w:r>
      <w:r>
        <w:rPr>
          <w:rFonts w:hint="eastAsia" w:ascii="仿宋_GB2312" w:eastAsia="仿宋_GB2312"/>
          <w:sz w:val="32"/>
          <w:szCs w:val="32"/>
          <w:lang w:val="en-US" w:eastAsia="zh-CN"/>
        </w:rPr>
        <w:t>支出</w:t>
      </w:r>
      <w:r>
        <w:rPr>
          <w:rFonts w:hint="eastAsia" w:ascii="仿宋_GB2312" w:eastAsia="仿宋_GB2312"/>
          <w:sz w:val="32"/>
          <w:szCs w:val="32"/>
        </w:rPr>
        <w:t>减少。与年初预算相比，年初预算数</w:t>
      </w:r>
      <w:r>
        <w:rPr>
          <w:rFonts w:hint="eastAsia" w:ascii="仿宋_GB2312" w:eastAsia="仿宋_GB2312"/>
          <w:sz w:val="32"/>
          <w:szCs w:val="32"/>
          <w:lang w:val="zh-CN"/>
        </w:rPr>
        <w:t>108.83</w:t>
      </w:r>
      <w:r>
        <w:rPr>
          <w:rFonts w:hint="eastAsia" w:ascii="仿宋_GB2312" w:eastAsia="仿宋_GB2312"/>
          <w:sz w:val="32"/>
          <w:szCs w:val="32"/>
        </w:rPr>
        <w:t>万元，决算数</w:t>
      </w:r>
      <w:r>
        <w:rPr>
          <w:rFonts w:hint="eastAsia" w:ascii="仿宋_GB2312" w:eastAsia="仿宋_GB2312"/>
          <w:sz w:val="32"/>
          <w:szCs w:val="32"/>
          <w:lang w:val="zh-CN"/>
        </w:rPr>
        <w:t>117.05</w:t>
      </w:r>
      <w:r>
        <w:rPr>
          <w:rFonts w:hint="eastAsia" w:ascii="仿宋_GB2312" w:eastAsia="仿宋_GB2312"/>
          <w:sz w:val="32"/>
          <w:szCs w:val="32"/>
        </w:rPr>
        <w:t>万元，预决算差异率7.56%，主要原因是：</w:t>
      </w:r>
      <w:r>
        <w:rPr>
          <w:rFonts w:hint="eastAsia" w:ascii="仿宋_GB2312" w:eastAsia="仿宋_GB2312"/>
          <w:sz w:val="32"/>
          <w:szCs w:val="32"/>
          <w:lang w:val="en-US" w:eastAsia="zh-CN"/>
        </w:rPr>
        <w:t>2023年度</w:t>
      </w:r>
      <w:r>
        <w:rPr>
          <w:rFonts w:hint="eastAsia" w:ascii="仿宋_GB2312" w:eastAsia="仿宋_GB2312"/>
          <w:sz w:val="32"/>
          <w:szCs w:val="32"/>
        </w:rPr>
        <w:t>人员</w:t>
      </w:r>
      <w:r>
        <w:rPr>
          <w:rFonts w:hint="eastAsia" w:ascii="仿宋_GB2312" w:eastAsia="仿宋_GB2312"/>
          <w:sz w:val="32"/>
          <w:szCs w:val="32"/>
          <w:lang w:val="en-US" w:eastAsia="zh-CN"/>
        </w:rPr>
        <w:t>职务职级晋升，</w:t>
      </w:r>
      <w:r>
        <w:rPr>
          <w:rFonts w:hint="eastAsia" w:ascii="仿宋_GB2312" w:eastAsia="仿宋_GB2312"/>
          <w:sz w:val="32"/>
          <w:szCs w:val="32"/>
        </w:rPr>
        <w:t>调标增资</w:t>
      </w:r>
      <w:r>
        <w:rPr>
          <w:rFonts w:hint="eastAsia" w:ascii="仿宋_GB2312" w:eastAsia="仿宋_GB2312"/>
          <w:sz w:val="32"/>
          <w:szCs w:val="32"/>
          <w:lang w:eastAsia="zh-CN"/>
        </w:rPr>
        <w:t>，产生预决算差异</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7" w:name="_Toc20360"/>
      <w:bookmarkStart w:id="18" w:name="_Toc13833"/>
      <w:r>
        <w:rPr>
          <w:rFonts w:hint="eastAsia" w:ascii="黑体" w:hAnsi="黑体" w:eastAsia="黑体" w:cs="宋体"/>
          <w:bCs/>
          <w:kern w:val="0"/>
          <w:sz w:val="32"/>
          <w:szCs w:val="32"/>
        </w:rPr>
        <w:t>五、一般公共预算财政拨款支出决算情况说明</w:t>
      </w:r>
      <w:bookmarkEnd w:id="17"/>
      <w:bookmarkEnd w:id="18"/>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2023年度一般公共预算财政拨款支出117.03万元，占本年支出合计的</w:t>
      </w:r>
      <w:r>
        <w:rPr>
          <w:rFonts w:hint="eastAsia" w:ascii="仿宋_GB2312" w:eastAsia="仿宋_GB2312"/>
          <w:sz w:val="32"/>
          <w:szCs w:val="32"/>
          <w:lang w:val="zh-CN"/>
        </w:rPr>
        <w:t>99.98%</w:t>
      </w:r>
      <w:r>
        <w:rPr>
          <w:rFonts w:hint="eastAsia" w:ascii="仿宋_GB2312" w:eastAsia="仿宋_GB2312"/>
          <w:sz w:val="32"/>
          <w:szCs w:val="32"/>
        </w:rPr>
        <w:t>。与上年相比，</w:t>
      </w:r>
      <w:r>
        <w:rPr>
          <w:rFonts w:hint="eastAsia" w:ascii="仿宋_GB2312" w:eastAsia="仿宋_GB2312"/>
          <w:sz w:val="32"/>
          <w:szCs w:val="32"/>
          <w:lang w:val="zh-CN"/>
        </w:rPr>
        <w:t>减少1.29万元</w:t>
      </w:r>
      <w:r>
        <w:rPr>
          <w:rFonts w:hint="eastAsia" w:ascii="仿宋_GB2312" w:eastAsia="仿宋_GB2312"/>
          <w:sz w:val="32"/>
          <w:szCs w:val="32"/>
        </w:rPr>
        <w:t>，</w:t>
      </w:r>
      <w:r>
        <w:rPr>
          <w:rFonts w:hint="eastAsia" w:ascii="仿宋_GB2312" w:eastAsia="仿宋_GB2312"/>
          <w:sz w:val="32"/>
          <w:szCs w:val="32"/>
          <w:lang w:val="zh-CN"/>
        </w:rPr>
        <w:t>下降1.09%，</w:t>
      </w:r>
      <w:r>
        <w:rPr>
          <w:rFonts w:hint="eastAsia" w:ascii="仿宋_GB2312" w:eastAsia="仿宋_GB2312"/>
          <w:sz w:val="32"/>
          <w:szCs w:val="32"/>
        </w:rPr>
        <w:t>主要原因是：</w:t>
      </w:r>
      <w:r>
        <w:rPr>
          <w:rFonts w:hint="eastAsia" w:ascii="仿宋_GB2312" w:eastAsia="仿宋_GB2312"/>
          <w:sz w:val="32"/>
          <w:szCs w:val="32"/>
          <w:lang w:val="en-US" w:eastAsia="zh-CN"/>
        </w:rPr>
        <w:t>人员变动</w:t>
      </w:r>
      <w:r>
        <w:rPr>
          <w:rFonts w:hint="eastAsia" w:ascii="仿宋_GB2312" w:eastAsia="仿宋_GB2312"/>
          <w:sz w:val="32"/>
          <w:szCs w:val="32"/>
        </w:rPr>
        <w:t>，经费</w:t>
      </w:r>
      <w:r>
        <w:rPr>
          <w:rFonts w:hint="eastAsia" w:ascii="仿宋_GB2312" w:eastAsia="仿宋_GB2312"/>
          <w:sz w:val="32"/>
          <w:szCs w:val="32"/>
          <w:lang w:val="en-US" w:eastAsia="zh-CN"/>
        </w:rPr>
        <w:t>支出</w:t>
      </w:r>
      <w:r>
        <w:rPr>
          <w:rFonts w:hint="eastAsia" w:ascii="仿宋_GB2312" w:eastAsia="仿宋_GB2312"/>
          <w:sz w:val="32"/>
          <w:szCs w:val="32"/>
        </w:rPr>
        <w:t>减少。与年初预算相比，年初预算数</w:t>
      </w:r>
      <w:r>
        <w:rPr>
          <w:rFonts w:hint="eastAsia" w:ascii="仿宋_GB2312" w:eastAsia="仿宋_GB2312"/>
          <w:sz w:val="32"/>
          <w:szCs w:val="32"/>
          <w:lang w:val="zh-CN"/>
        </w:rPr>
        <w:t>108.83</w:t>
      </w:r>
      <w:r>
        <w:rPr>
          <w:rFonts w:hint="eastAsia" w:ascii="仿宋_GB2312" w:eastAsia="仿宋_GB2312"/>
          <w:sz w:val="32"/>
          <w:szCs w:val="32"/>
        </w:rPr>
        <w:t>万元，决算数</w:t>
      </w:r>
      <w:r>
        <w:rPr>
          <w:rFonts w:hint="eastAsia" w:ascii="仿宋_GB2312" w:eastAsia="仿宋_GB2312"/>
          <w:sz w:val="32"/>
          <w:szCs w:val="32"/>
          <w:lang w:val="zh-CN"/>
        </w:rPr>
        <w:t>117.03</w:t>
      </w:r>
      <w:r>
        <w:rPr>
          <w:rFonts w:hint="eastAsia" w:ascii="仿宋_GB2312" w:eastAsia="仿宋_GB2312"/>
          <w:sz w:val="32"/>
          <w:szCs w:val="32"/>
        </w:rPr>
        <w:t>万元，预决算差异率</w:t>
      </w:r>
      <w:r>
        <w:rPr>
          <w:rFonts w:hint="eastAsia" w:ascii="仿宋_GB2312" w:eastAsia="仿宋_GB2312"/>
          <w:sz w:val="32"/>
          <w:szCs w:val="32"/>
          <w:lang w:val="zh-CN"/>
        </w:rPr>
        <w:t>7.54%</w:t>
      </w:r>
      <w:r>
        <w:rPr>
          <w:rFonts w:hint="eastAsia" w:ascii="仿宋_GB2312" w:eastAsia="仿宋_GB2312"/>
          <w:sz w:val="32"/>
          <w:szCs w:val="32"/>
        </w:rPr>
        <w:t>，主要原因是：</w:t>
      </w:r>
      <w:r>
        <w:rPr>
          <w:rFonts w:hint="eastAsia" w:ascii="仿宋_GB2312" w:eastAsia="仿宋_GB2312"/>
          <w:sz w:val="32"/>
          <w:szCs w:val="32"/>
          <w:lang w:val="en-US" w:eastAsia="zh-CN"/>
        </w:rPr>
        <w:t>2023年度</w:t>
      </w:r>
      <w:r>
        <w:rPr>
          <w:rFonts w:hint="eastAsia" w:ascii="仿宋_GB2312" w:eastAsia="仿宋_GB2312"/>
          <w:sz w:val="32"/>
          <w:szCs w:val="32"/>
        </w:rPr>
        <w:t>人员</w:t>
      </w:r>
      <w:r>
        <w:rPr>
          <w:rFonts w:hint="eastAsia" w:ascii="仿宋_GB2312" w:eastAsia="仿宋_GB2312"/>
          <w:sz w:val="32"/>
          <w:szCs w:val="32"/>
          <w:lang w:val="en-US" w:eastAsia="zh-CN"/>
        </w:rPr>
        <w:t>职务职级晋升，</w:t>
      </w:r>
      <w:r>
        <w:rPr>
          <w:rFonts w:hint="eastAsia" w:ascii="仿宋_GB2312" w:eastAsia="仿宋_GB2312"/>
          <w:sz w:val="32"/>
          <w:szCs w:val="32"/>
        </w:rPr>
        <w:t>调标增资</w:t>
      </w:r>
      <w:r>
        <w:rPr>
          <w:rFonts w:hint="eastAsia" w:ascii="仿宋_GB2312" w:eastAsia="仿宋_GB2312"/>
          <w:sz w:val="32"/>
          <w:szCs w:val="32"/>
          <w:lang w:eastAsia="zh-CN"/>
        </w:rPr>
        <w:t>，产生预决算差异</w:t>
      </w:r>
      <w:r>
        <w:rPr>
          <w:rFonts w:hint="eastAsia" w:ascii="仿宋_GB2312" w:eastAsia="仿宋_GB2312"/>
          <w:sz w:val="32"/>
          <w:szCs w:val="32"/>
        </w:rPr>
        <w:t>。</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12.21</w:t>
      </w:r>
      <w:r>
        <w:rPr>
          <w:rFonts w:ascii="仿宋_GB2312" w:eastAsia="仿宋_GB2312"/>
          <w:kern w:val="2"/>
          <w:sz w:val="32"/>
          <w:szCs w:val="32"/>
          <w:lang w:val="zh-CN"/>
        </w:rPr>
        <w:t>万元，占</w:t>
      </w:r>
      <w:r>
        <w:rPr>
          <w:rFonts w:hint="eastAsia" w:ascii="仿宋_GB2312" w:eastAsia="仿宋_GB2312"/>
          <w:kern w:val="2"/>
          <w:sz w:val="32"/>
          <w:szCs w:val="32"/>
          <w:lang w:val="zh-CN"/>
        </w:rPr>
        <w:t>10.43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7.04</w:t>
      </w:r>
      <w:r>
        <w:rPr>
          <w:rFonts w:ascii="仿宋_GB2312" w:eastAsia="仿宋_GB2312"/>
          <w:kern w:val="2"/>
          <w:sz w:val="32"/>
          <w:szCs w:val="32"/>
          <w:lang w:val="zh-CN"/>
        </w:rPr>
        <w:t>万元，占</w:t>
      </w:r>
      <w:r>
        <w:rPr>
          <w:rFonts w:hint="eastAsia" w:ascii="仿宋_GB2312" w:eastAsia="仿宋_GB2312"/>
          <w:kern w:val="2"/>
          <w:sz w:val="32"/>
          <w:szCs w:val="32"/>
          <w:lang w:val="zh-CN"/>
        </w:rPr>
        <w:t>6.01</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92.16</w:t>
      </w:r>
      <w:r>
        <w:rPr>
          <w:rFonts w:ascii="仿宋_GB2312" w:eastAsia="仿宋_GB2312"/>
          <w:kern w:val="2"/>
          <w:sz w:val="32"/>
          <w:szCs w:val="32"/>
          <w:lang w:val="zh-CN"/>
        </w:rPr>
        <w:t>万元，占</w:t>
      </w:r>
      <w:r>
        <w:rPr>
          <w:rFonts w:hint="eastAsia" w:ascii="仿宋_GB2312" w:eastAsia="仿宋_GB2312"/>
          <w:kern w:val="2"/>
          <w:sz w:val="32"/>
          <w:szCs w:val="32"/>
          <w:lang w:val="zh-CN"/>
        </w:rPr>
        <w:t>78.75</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5.63</w:t>
      </w:r>
      <w:r>
        <w:rPr>
          <w:rFonts w:ascii="仿宋_GB2312" w:eastAsia="仿宋_GB2312"/>
          <w:kern w:val="2"/>
          <w:sz w:val="32"/>
          <w:szCs w:val="32"/>
          <w:lang w:val="zh-CN"/>
        </w:rPr>
        <w:t>万元，占</w:t>
      </w:r>
      <w:r>
        <w:rPr>
          <w:rFonts w:hint="eastAsia" w:ascii="仿宋_GB2312" w:eastAsia="仿宋_GB2312"/>
          <w:kern w:val="2"/>
          <w:sz w:val="32"/>
          <w:szCs w:val="32"/>
          <w:lang w:val="zh-CN"/>
        </w:rPr>
        <w:t>4.81</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lang w:val="zh-CN"/>
        </w:rPr>
      </w:pPr>
      <w:r>
        <w:rPr>
          <w:rFonts w:hint="eastAsia" w:eastAsia="仿宋_GB2312"/>
          <w:sz w:val="32"/>
          <w:szCs w:val="32"/>
        </w:rPr>
        <w:t>1.卫生健康支出（类）行政事业单位医疗（款）行政单位医疗（项）:支出决算数为3.76万元，比上年决算增加0.34万元，增长10.04%，主要原因是：</w:t>
      </w:r>
      <w:r>
        <w:rPr>
          <w:rFonts w:hint="eastAsia" w:ascii="仿宋_GB2312" w:eastAsia="仿宋_GB2312"/>
          <w:sz w:val="32"/>
          <w:szCs w:val="32"/>
          <w:lang w:val="en-US" w:eastAsia="zh-CN"/>
        </w:rPr>
        <w:t>2023年度</w:t>
      </w:r>
      <w:r>
        <w:rPr>
          <w:rFonts w:hint="eastAsia" w:ascii="仿宋_GB2312" w:eastAsia="仿宋_GB2312"/>
          <w:sz w:val="32"/>
          <w:szCs w:val="32"/>
        </w:rPr>
        <w:t>人员</w:t>
      </w:r>
      <w:r>
        <w:rPr>
          <w:rFonts w:hint="eastAsia" w:ascii="仿宋_GB2312" w:eastAsia="仿宋_GB2312"/>
          <w:sz w:val="32"/>
          <w:szCs w:val="32"/>
          <w:lang w:val="en-US" w:eastAsia="zh-CN"/>
        </w:rPr>
        <w:t>职务职级晋升，</w:t>
      </w:r>
      <w:r>
        <w:rPr>
          <w:rFonts w:hint="eastAsia" w:ascii="仿宋_GB2312" w:eastAsia="仿宋_GB2312"/>
          <w:sz w:val="32"/>
          <w:szCs w:val="32"/>
        </w:rPr>
        <w:t>调标增资</w:t>
      </w:r>
      <w:r>
        <w:rPr>
          <w:rFonts w:hint="eastAsia" w:ascii="仿宋_GB2312" w:eastAsia="仿宋_GB2312"/>
          <w:sz w:val="32"/>
          <w:szCs w:val="32"/>
          <w:lang w:val="en-US" w:eastAsia="zh-CN"/>
        </w:rPr>
        <w:t>基数调增</w:t>
      </w:r>
      <w:r>
        <w:rPr>
          <w:rFonts w:hint="eastAsia" w:ascii="仿宋_GB2312" w:eastAsia="仿宋_GB2312"/>
          <w:sz w:val="32"/>
          <w:szCs w:val="32"/>
          <w:lang w:eastAsia="zh-CN"/>
        </w:rPr>
        <w:t>，</w:t>
      </w:r>
      <w:r>
        <w:rPr>
          <w:rFonts w:hint="eastAsia" w:eastAsia="仿宋_GB2312"/>
          <w:sz w:val="32"/>
          <w:szCs w:val="32"/>
        </w:rPr>
        <w:t>行政单位医疗</w:t>
      </w:r>
      <w:r>
        <w:rPr>
          <w:rFonts w:hint="eastAsia" w:ascii="仿宋_GB2312" w:eastAsia="仿宋_GB2312"/>
          <w:sz w:val="32"/>
          <w:szCs w:val="32"/>
          <w:lang w:val="en-US" w:eastAsia="zh-CN"/>
        </w:rPr>
        <w:t>支出增加</w:t>
      </w:r>
      <w:r>
        <w:rPr>
          <w:rFonts w:hint="eastAsia" w:eastAsia="仿宋_GB2312"/>
          <w:sz w:val="32"/>
          <w:szCs w:val="32"/>
          <w:lang w:val="zh-CN"/>
        </w:rPr>
        <w:t>。</w:t>
      </w:r>
    </w:p>
    <w:p>
      <w:pPr>
        <w:ind w:firstLine="640" w:firstLineChars="200"/>
        <w:rPr>
          <w:rFonts w:hint="eastAsia" w:eastAsia="仿宋_GB2312"/>
          <w:sz w:val="32"/>
          <w:szCs w:val="32"/>
          <w:lang w:val="zh-CN"/>
        </w:rPr>
      </w:pPr>
      <w:r>
        <w:rPr>
          <w:rFonts w:hint="eastAsia" w:eastAsia="仿宋_GB2312"/>
          <w:sz w:val="32"/>
          <w:szCs w:val="32"/>
        </w:rPr>
        <w:t>2.卫生健康支出（类）行政事业单位医疗（款）公务员医疗补助（项）:支出决算数为3.28万元，比上年决算增加0.63万元，增长23.64%，主要原因是：</w:t>
      </w:r>
      <w:r>
        <w:rPr>
          <w:rFonts w:hint="eastAsia" w:ascii="仿宋_GB2312" w:eastAsia="仿宋_GB2312"/>
          <w:sz w:val="32"/>
          <w:szCs w:val="32"/>
          <w:lang w:val="en-US" w:eastAsia="zh-CN"/>
        </w:rPr>
        <w:t>2023年度</w:t>
      </w:r>
      <w:r>
        <w:rPr>
          <w:rFonts w:hint="eastAsia" w:ascii="仿宋_GB2312" w:eastAsia="仿宋_GB2312"/>
          <w:sz w:val="32"/>
          <w:szCs w:val="32"/>
        </w:rPr>
        <w:t>人员</w:t>
      </w:r>
      <w:r>
        <w:rPr>
          <w:rFonts w:hint="eastAsia" w:ascii="仿宋_GB2312" w:eastAsia="仿宋_GB2312"/>
          <w:sz w:val="32"/>
          <w:szCs w:val="32"/>
          <w:lang w:val="en-US" w:eastAsia="zh-CN"/>
        </w:rPr>
        <w:t>职务职级晋升，</w:t>
      </w:r>
      <w:r>
        <w:rPr>
          <w:rFonts w:hint="eastAsia" w:ascii="仿宋_GB2312" w:eastAsia="仿宋_GB2312"/>
          <w:sz w:val="32"/>
          <w:szCs w:val="32"/>
        </w:rPr>
        <w:t>调标增资</w:t>
      </w:r>
      <w:r>
        <w:rPr>
          <w:rFonts w:hint="eastAsia" w:ascii="仿宋_GB2312" w:eastAsia="仿宋_GB2312"/>
          <w:sz w:val="32"/>
          <w:szCs w:val="32"/>
          <w:lang w:val="en-US" w:eastAsia="zh-CN"/>
        </w:rPr>
        <w:t>基数调增</w:t>
      </w:r>
      <w:r>
        <w:rPr>
          <w:rFonts w:hint="eastAsia" w:ascii="仿宋_GB2312" w:eastAsia="仿宋_GB2312"/>
          <w:sz w:val="32"/>
          <w:szCs w:val="32"/>
          <w:lang w:eastAsia="zh-CN"/>
        </w:rPr>
        <w:t>，</w:t>
      </w:r>
      <w:r>
        <w:rPr>
          <w:rFonts w:hint="eastAsia" w:eastAsia="仿宋_GB2312"/>
          <w:sz w:val="32"/>
          <w:szCs w:val="32"/>
        </w:rPr>
        <w:t>公务员医疗补助</w:t>
      </w:r>
      <w:r>
        <w:rPr>
          <w:rFonts w:hint="eastAsia" w:ascii="仿宋_GB2312" w:eastAsia="仿宋_GB2312"/>
          <w:sz w:val="32"/>
          <w:szCs w:val="32"/>
          <w:lang w:val="en-US" w:eastAsia="zh-CN"/>
        </w:rPr>
        <w:t>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3.自然资源海洋气象等支出（类）自然资源事务（款）其他自然资源事务支出（项）:支出决算数为29.67万元，比上年决算增加2.36万元，增长8.62%，主要原因是：</w:t>
      </w:r>
      <w:r>
        <w:rPr>
          <w:rFonts w:hint="eastAsia" w:eastAsia="仿宋_GB2312"/>
          <w:sz w:val="32"/>
          <w:szCs w:val="32"/>
          <w:lang w:val="zh-CN"/>
        </w:rPr>
        <w:t>因执法办案业务需要新增其他人员1人，</w:t>
      </w:r>
      <w:r>
        <w:rPr>
          <w:rFonts w:hint="eastAsia" w:eastAsia="仿宋_GB2312"/>
          <w:sz w:val="32"/>
          <w:szCs w:val="32"/>
          <w:lang w:val="en-US" w:eastAsia="zh-CN"/>
        </w:rPr>
        <w:t>使用上年</w:t>
      </w:r>
      <w:r>
        <w:rPr>
          <w:rFonts w:hint="eastAsia" w:ascii="仿宋_GB2312" w:eastAsia="仿宋_GB2312"/>
          <w:sz w:val="32"/>
          <w:szCs w:val="32"/>
        </w:rPr>
        <w:t>结转和结余</w:t>
      </w:r>
      <w:r>
        <w:rPr>
          <w:rFonts w:hint="eastAsia" w:ascii="仿宋_GB2312" w:eastAsia="仿宋_GB2312"/>
          <w:sz w:val="32"/>
          <w:szCs w:val="32"/>
          <w:lang w:val="en-US" w:eastAsia="zh-CN"/>
        </w:rPr>
        <w:t>资金，项目支出增加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4.自然资源海洋气象等支出（类）自然资源事务（款）行政运行（项）:支出决算数为62.49万元，比上年决算减少4.89万元，下降7.26%，主要原因是：</w:t>
      </w:r>
      <w:r>
        <w:rPr>
          <w:rFonts w:hint="eastAsia" w:ascii="仿宋_GB2312" w:eastAsia="仿宋_GB2312"/>
          <w:sz w:val="32"/>
          <w:szCs w:val="32"/>
          <w:lang w:val="en-US" w:eastAsia="zh-CN"/>
        </w:rPr>
        <w:t>人员变动</w:t>
      </w:r>
      <w:r>
        <w:rPr>
          <w:rFonts w:hint="eastAsia" w:ascii="仿宋_GB2312" w:eastAsia="仿宋_GB2312"/>
          <w:sz w:val="32"/>
          <w:szCs w:val="32"/>
        </w:rPr>
        <w:t>，经费</w:t>
      </w:r>
      <w:r>
        <w:rPr>
          <w:rFonts w:hint="eastAsia" w:ascii="仿宋_GB2312" w:eastAsia="仿宋_GB2312"/>
          <w:sz w:val="32"/>
          <w:szCs w:val="32"/>
          <w:lang w:val="en-US" w:eastAsia="zh-CN"/>
        </w:rPr>
        <w:t>支出</w:t>
      </w:r>
      <w:r>
        <w:rPr>
          <w:rFonts w:hint="eastAsia" w:ascii="仿宋_GB2312" w:eastAsia="仿宋_GB2312"/>
          <w:sz w:val="32"/>
          <w:szCs w:val="32"/>
        </w:rPr>
        <w:t>减少</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5.住房保障支出（类）住房改革支出（款）住房公积金（项）:支出决算数为5.63万元，比上年决算增加0.93万元，增长19.89%，主要原因是：</w:t>
      </w:r>
      <w:r>
        <w:rPr>
          <w:rFonts w:hint="eastAsia" w:ascii="仿宋_GB2312" w:eastAsia="仿宋_GB2312"/>
          <w:sz w:val="32"/>
          <w:szCs w:val="32"/>
        </w:rPr>
        <w:t>人员调标增资</w:t>
      </w:r>
      <w:r>
        <w:rPr>
          <w:rFonts w:hint="eastAsia" w:ascii="仿宋_GB2312" w:eastAsia="仿宋_GB2312"/>
          <w:sz w:val="32"/>
          <w:szCs w:val="32"/>
          <w:lang w:val="en-US" w:eastAsia="zh-CN"/>
        </w:rPr>
        <w:t>住房公积金基数调增</w:t>
      </w:r>
      <w:r>
        <w:rPr>
          <w:rFonts w:hint="eastAsia" w:ascii="仿宋_GB2312" w:eastAsia="仿宋_GB2312"/>
          <w:sz w:val="32"/>
          <w:szCs w:val="32"/>
          <w:lang w:eastAsia="zh-CN"/>
        </w:rPr>
        <w:t>，</w:t>
      </w:r>
      <w:r>
        <w:rPr>
          <w:rFonts w:hint="eastAsia" w:ascii="仿宋_GB2312" w:eastAsia="仿宋_GB2312"/>
          <w:sz w:val="32"/>
          <w:szCs w:val="32"/>
          <w:lang w:val="en-US" w:eastAsia="zh-CN"/>
        </w:rPr>
        <w:t>支出增加</w:t>
      </w:r>
      <w:r>
        <w:rPr>
          <w:rFonts w:hint="eastAsia" w:eastAsia="仿宋_GB2312"/>
          <w:sz w:val="32"/>
          <w:szCs w:val="32"/>
          <w:lang w:val="zh-CN"/>
        </w:rPr>
        <w:t>。</w:t>
      </w:r>
    </w:p>
    <w:p>
      <w:pPr>
        <w:ind w:firstLine="640" w:firstLineChars="200"/>
        <w:rPr>
          <w:rFonts w:hint="eastAsia" w:eastAsia="仿宋_GB2312"/>
          <w:sz w:val="32"/>
          <w:szCs w:val="32"/>
          <w:lang w:val="zh-CN" w:eastAsia="zh-CN"/>
        </w:rPr>
      </w:pPr>
      <w:r>
        <w:rPr>
          <w:rFonts w:hint="eastAsia" w:eastAsia="仿宋_GB2312"/>
          <w:sz w:val="32"/>
          <w:szCs w:val="32"/>
        </w:rPr>
        <w:t>6.社会保障和就业支出（类）行政事业单位养老支出（款）行政单位离退休（项）:支出决算数为5.31万元，比上年决算减少1.90万元，下降26.39%，主要原因是：</w:t>
      </w:r>
      <w:r>
        <w:rPr>
          <w:rFonts w:hint="eastAsia" w:eastAsia="仿宋_GB2312"/>
          <w:sz w:val="32"/>
          <w:szCs w:val="32"/>
          <w:lang w:val="en-US" w:eastAsia="zh-CN"/>
        </w:rPr>
        <w:t>年末退休医保改革，</w:t>
      </w:r>
      <w:r>
        <w:rPr>
          <w:rFonts w:hint="eastAsia" w:ascii="Times New Roman" w:hAnsi="Times New Roman" w:eastAsia="仿宋_GB2312" w:cs="Times New Roman"/>
          <w:sz w:val="32"/>
          <w:szCs w:val="32"/>
          <w:lang w:val="en-US" w:eastAsia="zh-CN"/>
        </w:rPr>
        <w:t>退回国库退休人员补助医疗</w:t>
      </w:r>
      <w:r>
        <w:rPr>
          <w:rFonts w:hint="eastAsia" w:eastAsia="仿宋_GB2312" w:cs="Times New Roman"/>
          <w:sz w:val="32"/>
          <w:szCs w:val="32"/>
          <w:lang w:val="en-US" w:eastAsia="zh-CN"/>
        </w:rPr>
        <w:t>支出减少。</w:t>
      </w:r>
    </w:p>
    <w:p>
      <w:pPr>
        <w:ind w:firstLine="640" w:firstLineChars="200"/>
        <w:rPr>
          <w:rFonts w:eastAsia="仿宋_GB2312"/>
          <w:sz w:val="32"/>
          <w:szCs w:val="32"/>
          <w:lang w:val="zh-CN"/>
        </w:rPr>
      </w:pPr>
      <w:r>
        <w:rPr>
          <w:rFonts w:hint="eastAsia" w:eastAsia="仿宋_GB2312"/>
          <w:sz w:val="32"/>
          <w:szCs w:val="32"/>
        </w:rPr>
        <w:t>7.社会保障和就业支出（类）行政事业单位养老支出（款）机关事业单位基本养老保险缴费支出（项）:支出决算数为6.90万元，比上年决算增加1.24万元，增长22.00%，主要原因是：</w:t>
      </w:r>
      <w:r>
        <w:rPr>
          <w:rFonts w:hint="eastAsia" w:ascii="仿宋_GB2312" w:eastAsia="仿宋_GB2312"/>
          <w:sz w:val="32"/>
          <w:szCs w:val="32"/>
        </w:rPr>
        <w:t>人员调标增资</w:t>
      </w:r>
      <w:r>
        <w:rPr>
          <w:rFonts w:hint="eastAsia" w:ascii="仿宋_GB2312" w:eastAsia="仿宋_GB2312"/>
          <w:sz w:val="32"/>
          <w:szCs w:val="32"/>
          <w:lang w:val="en-US" w:eastAsia="zh-CN"/>
        </w:rPr>
        <w:t>基数调增</w:t>
      </w:r>
      <w:r>
        <w:rPr>
          <w:rFonts w:hint="eastAsia" w:ascii="仿宋_GB2312" w:eastAsia="仿宋_GB2312"/>
          <w:sz w:val="32"/>
          <w:szCs w:val="32"/>
          <w:lang w:eastAsia="zh-CN"/>
        </w:rPr>
        <w:t>，</w:t>
      </w:r>
      <w:r>
        <w:rPr>
          <w:rFonts w:hint="eastAsia" w:eastAsia="仿宋_GB2312"/>
          <w:sz w:val="32"/>
          <w:szCs w:val="32"/>
        </w:rPr>
        <w:t>基本养老保险缴费</w:t>
      </w:r>
      <w:r>
        <w:rPr>
          <w:rFonts w:hint="eastAsia" w:ascii="仿宋_GB2312" w:eastAsia="仿宋_GB2312"/>
          <w:sz w:val="32"/>
          <w:szCs w:val="32"/>
          <w:lang w:val="en-US" w:eastAsia="zh-CN"/>
        </w:rPr>
        <w:t>支出增加</w:t>
      </w:r>
      <w:r>
        <w:rPr>
          <w:rFonts w:hint="eastAsia" w:eastAsia="仿宋_GB2312"/>
          <w:sz w:val="32"/>
          <w:szCs w:val="32"/>
          <w:lang w:val="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87.36万元，其中：人员经费82.51万元，包括：基本工资、津贴补贴、奖金、机关事业单位基本养老保险缴费、职工基本医疗保险缴费、公务员医疗补助缴费、其他社会保障缴费、住房公积金、其他工资福利支出、退休费、生活补助、其他对个人和家庭的补助。</w:t>
      </w:r>
    </w:p>
    <w:p>
      <w:pPr>
        <w:ind w:firstLine="640" w:firstLineChars="200"/>
        <w:jc w:val="left"/>
        <w:rPr>
          <w:rFonts w:ascii="仿宋_GB2312" w:eastAsia="仿宋_GB2312"/>
          <w:sz w:val="32"/>
          <w:szCs w:val="32"/>
          <w:highlight w:val="none"/>
        </w:rPr>
      </w:pPr>
      <w:r>
        <w:rPr>
          <w:rFonts w:hint="eastAsia" w:ascii="仿宋_GB2312" w:eastAsia="仿宋_GB2312"/>
          <w:sz w:val="32"/>
          <w:szCs w:val="32"/>
        </w:rPr>
        <w:t>公用经费4.85万元，包括：办公费、邮电费、取暖费、物业管理费、工会经费、福利费、其他交通费用、其他商品和服务支出</w:t>
      </w:r>
      <w:r>
        <w:rPr>
          <w:rFonts w:hint="eastAsia" w:ascii="仿宋_GB2312" w:eastAsia="仿宋_GB2312"/>
          <w:sz w:val="32"/>
          <w:szCs w:val="32"/>
          <w:highlight w:val="none"/>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增加0.00万元，增长0.00%，主要原因是：</w:t>
      </w:r>
      <w:r>
        <w:rPr>
          <w:rFonts w:hint="eastAsia" w:ascii="仿宋_GB2312" w:eastAsia="仿宋_GB2312"/>
          <w:sz w:val="32"/>
          <w:szCs w:val="32"/>
          <w:lang w:val="en-US" w:eastAsia="zh-CN"/>
        </w:rPr>
        <w:t>我单位本年度无</w:t>
      </w:r>
      <w:r>
        <w:rPr>
          <w:rFonts w:hint="eastAsia" w:ascii="仿宋_GB2312" w:eastAsia="仿宋_GB2312"/>
          <w:sz w:val="32"/>
          <w:szCs w:val="32"/>
          <w:lang w:val="zh-CN"/>
        </w:rPr>
        <w:t>因公出国（境）费、</w:t>
      </w:r>
      <w:r>
        <w:rPr>
          <w:rFonts w:hint="eastAsia" w:ascii="仿宋_GB2312" w:eastAsia="仿宋_GB2312"/>
          <w:sz w:val="32"/>
          <w:szCs w:val="32"/>
          <w:lang w:val="en-US" w:eastAsia="zh-CN"/>
        </w:rPr>
        <w:t>无公务用车购置及运行维护费、无公务接待费</w:t>
      </w:r>
      <w:r>
        <w:rPr>
          <w:rFonts w:hint="eastAsia" w:ascii="仿宋_GB2312" w:eastAsia="仿宋_GB2312"/>
          <w:sz w:val="32"/>
          <w:szCs w:val="32"/>
          <w:lang w:val="zh-CN"/>
        </w:rPr>
        <w:t>。其中：因公出国（境）费支出0.00万元，占0.00%，比上年增加0.00万元，增长0.00%，主要原因是：</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；公务用车购置及运行维护费支出0.00万元，占0.00%，比上年增加0.00万元，增长0.00%，主要原因是：</w:t>
      </w:r>
      <w:r>
        <w:rPr>
          <w:rFonts w:hint="eastAsia" w:ascii="仿宋_GB2312" w:eastAsia="仿宋_GB2312"/>
          <w:sz w:val="32"/>
          <w:szCs w:val="32"/>
          <w:lang w:val="en-US" w:eastAsia="zh-CN"/>
        </w:rPr>
        <w:t>我单位本年度无公务用车购置及运行维护费发生</w:t>
      </w:r>
      <w:r>
        <w:rPr>
          <w:rFonts w:hint="eastAsia" w:ascii="仿宋_GB2312" w:eastAsia="仿宋_GB2312"/>
          <w:sz w:val="32"/>
          <w:szCs w:val="32"/>
          <w:lang w:val="zh-CN"/>
        </w:rPr>
        <w:t>；公务接待费支出0.00万元，占0.00%，比上年增加0.00万元，增长0.00%，主要原因是：</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。单位全年安排的因公出国（境）团组0个，因公出国（境）0人次。</w:t>
      </w:r>
    </w:p>
    <w:p>
      <w:pPr>
        <w:ind w:firstLine="640" w:firstLineChars="200"/>
        <w:jc w:val="left"/>
        <w:rPr>
          <w:rFonts w:hint="eastAsia"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val="en-US" w:eastAsia="zh-CN"/>
        </w:rPr>
        <w:t>我单位本年度无公务用车购置及运行维护费</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固定资产车辆</w:t>
      </w:r>
      <w:r>
        <w:rPr>
          <w:rFonts w:hint="eastAsia" w:ascii="仿宋_GB2312" w:eastAsia="仿宋_GB2312"/>
          <w:sz w:val="32"/>
          <w:szCs w:val="32"/>
          <w:lang w:val="en-US" w:eastAsia="zh-CN"/>
        </w:rPr>
        <w:t>为1辆执法执勤用车、1辆其他车辆，均</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sz w:val="32"/>
          <w:szCs w:val="32"/>
          <w:lang w:val="zh-CN"/>
        </w:rPr>
        <w:t>。</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。单位全年安排的国内公务接待0批次，0人次。</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预算数0.00万元，决算数0.00万元，预决算差异率0.00%，主要原因是：我单位无</w:t>
      </w:r>
      <w:r>
        <w:rPr>
          <w:rFonts w:hint="eastAsia" w:ascii="仿宋_GB2312" w:eastAsia="仿宋_GB2312"/>
          <w:sz w:val="32"/>
          <w:szCs w:val="32"/>
          <w:lang w:val="en-US" w:eastAsia="zh-CN"/>
        </w:rPr>
        <w:t>“三公”经费</w:t>
      </w:r>
      <w:bookmarkStart w:id="49" w:name="_GoBack"/>
      <w:bookmarkEnd w:id="49"/>
      <w:r>
        <w:rPr>
          <w:rFonts w:hint="eastAsia" w:ascii="仿宋_GB2312" w:eastAsia="仿宋_GB2312"/>
          <w:sz w:val="32"/>
          <w:szCs w:val="32"/>
          <w:lang w:val="en-US" w:eastAsia="zh-CN"/>
        </w:rPr>
        <w:t>支出</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我单位本年度无公务用车购置费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我单位本年度无公务用车运行费</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w:t>
      </w:r>
    </w:p>
    <w:p>
      <w:pPr>
        <w:ind w:firstLine="640" w:firstLineChars="200"/>
        <w:jc w:val="left"/>
        <w:outlineLvl w:val="1"/>
        <w:rPr>
          <w:rFonts w:ascii="黑体" w:hAnsi="黑体" w:eastAsia="黑体" w:cs="宋体"/>
          <w:bCs/>
          <w:kern w:val="0"/>
          <w:sz w:val="32"/>
          <w:szCs w:val="32"/>
        </w:rPr>
      </w:pPr>
      <w:bookmarkStart w:id="19" w:name="_Toc7927"/>
      <w:bookmarkStart w:id="20" w:name="_Toc5810"/>
      <w:r>
        <w:rPr>
          <w:rFonts w:hint="eastAsia" w:ascii="黑体" w:hAnsi="黑体" w:eastAsia="黑体" w:cs="宋体"/>
          <w:bCs/>
          <w:kern w:val="0"/>
          <w:sz w:val="32"/>
          <w:szCs w:val="32"/>
        </w:rPr>
        <w:t>八、政府性基金预算财政拨款收入支出决算情况说明</w:t>
      </w:r>
      <w:bookmarkEnd w:id="19"/>
      <w:bookmarkEnd w:id="20"/>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1" w:name="_Toc1235"/>
      <w:bookmarkStart w:id="22" w:name="_Toc7314"/>
      <w:r>
        <w:rPr>
          <w:rFonts w:hint="eastAsia" w:ascii="黑体" w:hAnsi="黑体" w:eastAsia="黑体" w:cs="宋体"/>
          <w:bCs/>
          <w:kern w:val="0"/>
          <w:sz w:val="32"/>
          <w:szCs w:val="32"/>
        </w:rPr>
        <w:t>十、其他重要事项的情况说明</w:t>
      </w:r>
      <w:bookmarkEnd w:id="21"/>
      <w:bookmarkEnd w:id="22"/>
    </w:p>
    <w:p>
      <w:pPr>
        <w:ind w:firstLine="640" w:firstLineChars="200"/>
        <w:jc w:val="left"/>
        <w:outlineLvl w:val="2"/>
        <w:rPr>
          <w:rFonts w:ascii="黑体" w:hAnsi="黑体" w:eastAsia="黑体"/>
          <w:sz w:val="32"/>
          <w:szCs w:val="32"/>
        </w:rPr>
      </w:pPr>
      <w:bookmarkStart w:id="23" w:name="_Toc14519"/>
      <w:bookmarkStart w:id="24" w:name="_Toc13105"/>
      <w:r>
        <w:rPr>
          <w:rFonts w:hint="eastAsia" w:ascii="黑体" w:hAnsi="黑体" w:eastAsia="黑体"/>
          <w:sz w:val="32"/>
          <w:szCs w:val="32"/>
        </w:rPr>
        <w:t>（一）机关运行经费支出情况</w:t>
      </w:r>
      <w:bookmarkEnd w:id="23"/>
      <w:bookmarkEnd w:id="24"/>
    </w:p>
    <w:p>
      <w:pPr>
        <w:ind w:firstLine="640" w:firstLineChars="200"/>
        <w:rPr>
          <w:rFonts w:eastAsia="仿宋_GB2312"/>
          <w:sz w:val="32"/>
          <w:szCs w:val="32"/>
          <w:lang w:val="zh-CN"/>
        </w:rPr>
      </w:pPr>
      <w:bookmarkStart w:id="25" w:name="_Toc227"/>
      <w:bookmarkStart w:id="26" w:name="_Toc26704"/>
      <w:r>
        <w:rPr>
          <w:rFonts w:hint="eastAsia" w:eastAsia="仿宋_GB2312"/>
          <w:sz w:val="32"/>
          <w:szCs w:val="32"/>
          <w:lang w:val="zh-CN"/>
        </w:rPr>
        <w:t>2023年度</w:t>
      </w:r>
      <w:r>
        <w:rPr>
          <w:rFonts w:hint="eastAsia" w:eastAsia="仿宋_GB2312"/>
          <w:sz w:val="32"/>
          <w:szCs w:val="32"/>
        </w:rPr>
        <w:t>英吉沙县国土资源执法监察大队（参照公务员法管理事业单位）机关运行经费支出4.85万元，比上年减少0.17万元，下降3.34%，主要原因是：调出1人</w:t>
      </w:r>
      <w:r>
        <w:rPr>
          <w:rFonts w:hint="eastAsia" w:eastAsia="仿宋_GB2312"/>
          <w:sz w:val="32"/>
          <w:szCs w:val="32"/>
          <w:lang w:eastAsia="zh-CN"/>
        </w:rPr>
        <w:t>，</w:t>
      </w:r>
      <w:r>
        <w:rPr>
          <w:rFonts w:hint="eastAsia" w:eastAsia="仿宋_GB2312"/>
          <w:sz w:val="32"/>
          <w:szCs w:val="32"/>
        </w:rPr>
        <w:t>运行经费减少。</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5"/>
      <w:bookmarkEnd w:id="26"/>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2023年度政府采购支出总额0.00万元，其中：政府采购货物支出0.00万元、政府采购工程支出0.00万元、政府采购服务支出0.00万元。</w:t>
      </w:r>
    </w:p>
    <w:p>
      <w:pPr>
        <w:ind w:firstLine="640" w:firstLineChars="200"/>
        <w:jc w:val="left"/>
        <w:rPr>
          <w:rFonts w:eastAsia="仿宋_GB2312"/>
          <w:sz w:val="32"/>
          <w:szCs w:val="32"/>
        </w:rPr>
      </w:pPr>
      <w:r>
        <w:rPr>
          <w:rFonts w:hint="eastAsia" w:eastAsia="仿宋_GB2312"/>
          <w:sz w:val="32"/>
          <w:szCs w:val="32"/>
          <w:lang w:val="zh-CN"/>
        </w:rPr>
        <w:t>授予中小企业合同金额0.00万元，占政府采购支出总额的0.00</w:t>
      </w:r>
      <w:r>
        <w:rPr>
          <w:rFonts w:eastAsia="仿宋_GB2312"/>
          <w:sz w:val="32"/>
          <w:szCs w:val="32"/>
          <w:lang w:val="zh-CN"/>
        </w:rPr>
        <w:t>%</w:t>
      </w:r>
      <w:r>
        <w:rPr>
          <w:rFonts w:hint="eastAsia" w:eastAsia="仿宋_GB2312"/>
          <w:sz w:val="32"/>
          <w:szCs w:val="32"/>
          <w:lang w:val="zh-CN"/>
        </w:rPr>
        <w:t>，其中：授予小微企业合同金额0.00万元，占政府采购支出总额的0.00</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7" w:name="_Toc4591"/>
      <w:bookmarkStart w:id="28" w:name="_Toc8391"/>
      <w:r>
        <w:rPr>
          <w:rFonts w:hint="eastAsia" w:eastAsia="黑体"/>
          <w:sz w:val="32"/>
          <w:szCs w:val="30"/>
          <w:lang w:val="zh-CN"/>
        </w:rPr>
        <w:t>（三）国有资产占用情况说明</w:t>
      </w:r>
      <w:bookmarkEnd w:id="27"/>
      <w:bookmarkEnd w:id="28"/>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78.74</w:t>
      </w:r>
      <w:r>
        <w:rPr>
          <w:rFonts w:hint="eastAsia" w:eastAsia="仿宋_GB2312"/>
          <w:sz w:val="32"/>
          <w:szCs w:val="32"/>
        </w:rPr>
        <w:t>万元，房</w:t>
      </w:r>
      <w:r>
        <w:rPr>
          <w:rFonts w:hint="eastAsia" w:eastAsia="仿宋_GB2312"/>
          <w:sz w:val="32"/>
          <w:szCs w:val="32"/>
          <w:lang w:val="zh-CN"/>
        </w:rPr>
        <w:t>屋114.77平方米，价值23.47万元。车辆2辆，价值37.03万元，其中：副部（省）级及以上领导用车0辆、主要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用车0辆、机要通信用车0辆、应急保障用车0辆、执法执勤用车1辆、特种专业技术用车0辆、离退休干部</w:t>
      </w:r>
      <w:r>
        <w:rPr>
          <w:rFonts w:hint="eastAsia" w:eastAsia="仿宋_GB2312"/>
          <w:sz w:val="32"/>
          <w:szCs w:val="32"/>
        </w:rPr>
        <w:t>服务</w:t>
      </w:r>
      <w:r>
        <w:rPr>
          <w:rFonts w:hint="eastAsia" w:eastAsia="仿宋_GB2312"/>
          <w:sz w:val="32"/>
          <w:szCs w:val="32"/>
          <w:lang w:val="zh-CN"/>
        </w:rPr>
        <w:t>用车0辆、其他用车1辆，其他用车主要是：</w:t>
      </w:r>
      <w:r>
        <w:rPr>
          <w:rStyle w:val="11"/>
          <w:rFonts w:hint="eastAsia" w:ascii="仿宋" w:hAnsi="仿宋" w:eastAsia="仿宋" w:cs="仿宋"/>
          <w:b w:val="0"/>
          <w:color w:val="auto"/>
          <w:spacing w:val="-4"/>
          <w:sz w:val="32"/>
          <w:szCs w:val="32"/>
          <w:highlight w:val="none"/>
          <w:shd w:val="clear" w:color="auto" w:fill="auto"/>
          <w:lang w:val="en-US" w:eastAsia="zh-CN"/>
        </w:rPr>
        <w:t>日常其他业务用车</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9" w:name="_Toc11283"/>
      <w:bookmarkStart w:id="30" w:name="_Toc435"/>
      <w:r>
        <w:rPr>
          <w:rFonts w:hint="eastAsia" w:ascii="黑体" w:hAnsi="黑体" w:eastAsia="黑体" w:cs="宋体"/>
          <w:bCs/>
          <w:kern w:val="0"/>
          <w:sz w:val="32"/>
          <w:szCs w:val="32"/>
        </w:rPr>
        <w:t>十一、预算绩效的情况说明</w:t>
      </w:r>
      <w:bookmarkEnd w:id="29"/>
      <w:bookmarkEnd w:id="30"/>
    </w:p>
    <w:p>
      <w:pPr>
        <w:ind w:firstLine="640" w:firstLineChars="200"/>
        <w:rPr>
          <w:rFonts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eastAsia="仿宋_GB2312"/>
          <w:sz w:val="32"/>
          <w:szCs w:val="32"/>
          <w:lang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r>
        <w:rPr>
          <w:rFonts w:hint="eastAsia" w:ascii="仿宋_GB2312" w:eastAsia="仿宋_GB2312"/>
          <w:sz w:val="32"/>
          <w:szCs w:val="32"/>
          <w:lang w:eastAsia="zh-CN"/>
        </w:rPr>
        <w:t>。</w:t>
      </w:r>
    </w:p>
    <w:p>
      <w:pPr>
        <w:jc w:val="center"/>
        <w:outlineLvl w:val="0"/>
        <w:rPr>
          <w:rFonts w:ascii="黑体" w:hAnsi="黑体" w:eastAsia="黑体"/>
          <w:sz w:val="32"/>
          <w:szCs w:val="32"/>
        </w:rPr>
      </w:pPr>
      <w:bookmarkStart w:id="31" w:name="_Toc24143"/>
      <w:bookmarkStart w:id="32"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1"/>
      <w:bookmarkEnd w:id="32"/>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3" w:name="_Toc2183"/>
      <w:bookmarkStart w:id="34" w:name="_Toc6062"/>
      <w:r>
        <w:rPr>
          <w:rFonts w:hint="eastAsia" w:ascii="黑体" w:hAnsi="黑体" w:eastAsia="仿宋_GB2312" w:cs="宋体"/>
          <w:bCs/>
          <w:kern w:val="0"/>
          <w:sz w:val="32"/>
          <w:szCs w:val="32"/>
        </w:rPr>
        <w:t>一、《收入支出决算总表》</w:t>
      </w:r>
      <w:bookmarkEnd w:id="33"/>
      <w:bookmarkEnd w:id="34"/>
    </w:p>
    <w:p>
      <w:pPr>
        <w:ind w:firstLine="640" w:firstLineChars="200"/>
        <w:outlineLvl w:val="1"/>
        <w:rPr>
          <w:rFonts w:ascii="黑体" w:hAnsi="黑体" w:eastAsia="仿宋_GB2312" w:cs="宋体"/>
          <w:bCs/>
          <w:kern w:val="0"/>
          <w:sz w:val="32"/>
          <w:szCs w:val="32"/>
        </w:rPr>
      </w:pPr>
      <w:bookmarkStart w:id="35" w:name="_Toc24532"/>
      <w:bookmarkStart w:id="36" w:name="_Toc30364"/>
      <w:r>
        <w:rPr>
          <w:rFonts w:hint="eastAsia" w:ascii="黑体" w:hAnsi="黑体" w:eastAsia="仿宋_GB2312" w:cs="宋体"/>
          <w:bCs/>
          <w:kern w:val="0"/>
          <w:sz w:val="32"/>
          <w:szCs w:val="32"/>
        </w:rPr>
        <w:t>二、《收入决算表》</w:t>
      </w:r>
      <w:bookmarkEnd w:id="35"/>
      <w:bookmarkEnd w:id="36"/>
    </w:p>
    <w:p>
      <w:pPr>
        <w:ind w:firstLine="640" w:firstLineChars="200"/>
        <w:outlineLvl w:val="1"/>
        <w:rPr>
          <w:rFonts w:ascii="黑体" w:hAnsi="黑体" w:eastAsia="仿宋_GB2312" w:cs="宋体"/>
          <w:bCs/>
          <w:kern w:val="0"/>
          <w:sz w:val="32"/>
          <w:szCs w:val="32"/>
        </w:rPr>
      </w:pPr>
      <w:bookmarkStart w:id="37" w:name="_Toc32434"/>
      <w:bookmarkStart w:id="38" w:name="_Toc21304"/>
      <w:r>
        <w:rPr>
          <w:rFonts w:hint="eastAsia" w:ascii="黑体" w:hAnsi="黑体" w:eastAsia="仿宋_GB2312" w:cs="宋体"/>
          <w:bCs/>
          <w:kern w:val="0"/>
          <w:sz w:val="32"/>
          <w:szCs w:val="32"/>
        </w:rPr>
        <w:t>三、《支出决算表》</w:t>
      </w:r>
      <w:bookmarkEnd w:id="37"/>
      <w:bookmarkEnd w:id="38"/>
    </w:p>
    <w:p>
      <w:pPr>
        <w:ind w:firstLine="640" w:firstLineChars="200"/>
        <w:outlineLvl w:val="1"/>
        <w:rPr>
          <w:rFonts w:ascii="黑体" w:hAnsi="黑体" w:eastAsia="仿宋_GB2312" w:cs="宋体"/>
          <w:bCs/>
          <w:kern w:val="0"/>
          <w:sz w:val="32"/>
          <w:szCs w:val="32"/>
        </w:rPr>
      </w:pPr>
      <w:bookmarkStart w:id="39" w:name="_Toc28786"/>
      <w:bookmarkStart w:id="40" w:name="_Toc14238"/>
      <w:r>
        <w:rPr>
          <w:rFonts w:hint="eastAsia" w:ascii="黑体" w:hAnsi="黑体" w:eastAsia="仿宋_GB2312" w:cs="宋体"/>
          <w:bCs/>
          <w:kern w:val="0"/>
          <w:sz w:val="32"/>
          <w:szCs w:val="32"/>
        </w:rPr>
        <w:t>四、《财政拨款收入支出决算总表》</w:t>
      </w:r>
      <w:bookmarkEnd w:id="39"/>
      <w:bookmarkEnd w:id="40"/>
    </w:p>
    <w:p>
      <w:pPr>
        <w:ind w:firstLine="640" w:firstLineChars="200"/>
        <w:outlineLvl w:val="1"/>
        <w:rPr>
          <w:rFonts w:ascii="黑体" w:hAnsi="黑体" w:eastAsia="仿宋_GB2312" w:cs="宋体"/>
          <w:bCs/>
          <w:kern w:val="0"/>
          <w:sz w:val="32"/>
          <w:szCs w:val="32"/>
        </w:rPr>
      </w:pPr>
      <w:bookmarkStart w:id="41" w:name="_Toc10347"/>
      <w:bookmarkStart w:id="42" w:name="_Toc14869"/>
      <w:r>
        <w:rPr>
          <w:rFonts w:hint="eastAsia" w:ascii="黑体" w:hAnsi="黑体" w:eastAsia="仿宋_GB2312" w:cs="宋体"/>
          <w:bCs/>
          <w:kern w:val="0"/>
          <w:sz w:val="32"/>
          <w:szCs w:val="32"/>
        </w:rPr>
        <w:t>五、《一般公共预算财政拨款支出决算表》</w:t>
      </w:r>
      <w:bookmarkEnd w:id="41"/>
      <w:bookmarkEnd w:id="42"/>
    </w:p>
    <w:p>
      <w:pPr>
        <w:ind w:firstLine="640" w:firstLineChars="200"/>
        <w:outlineLvl w:val="1"/>
        <w:rPr>
          <w:rFonts w:ascii="黑体" w:hAnsi="黑体" w:eastAsia="仿宋_GB2312" w:cs="宋体"/>
          <w:bCs/>
          <w:kern w:val="0"/>
          <w:sz w:val="32"/>
          <w:szCs w:val="32"/>
        </w:rPr>
      </w:pPr>
      <w:bookmarkStart w:id="43" w:name="_Toc8884"/>
      <w:bookmarkStart w:id="44" w:name="_Toc5626"/>
      <w:r>
        <w:rPr>
          <w:rFonts w:hint="eastAsia" w:ascii="黑体" w:hAnsi="黑体" w:eastAsia="仿宋_GB2312" w:cs="宋体"/>
          <w:bCs/>
          <w:kern w:val="0"/>
          <w:sz w:val="32"/>
          <w:szCs w:val="32"/>
        </w:rPr>
        <w:t>六、《一般公共预算财政拨款基本支出决算表》</w:t>
      </w:r>
      <w:bookmarkEnd w:id="43"/>
      <w:bookmarkEnd w:id="44"/>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32663"/>
      <w:bookmarkStart w:id="46" w:name="_Toc29106"/>
      <w:r>
        <w:rPr>
          <w:rFonts w:hint="eastAsia" w:ascii="黑体" w:hAnsi="黑体" w:eastAsia="仿宋_GB2312" w:cs="宋体"/>
          <w:bCs/>
          <w:kern w:val="0"/>
          <w:sz w:val="32"/>
          <w:szCs w:val="32"/>
        </w:rPr>
        <w:t>《财政拨款“三公”经费支出决算表》</w:t>
      </w:r>
      <w:bookmarkEnd w:id="45"/>
      <w:bookmarkEnd w:id="46"/>
    </w:p>
    <w:p>
      <w:pPr>
        <w:ind w:firstLine="640" w:firstLineChars="200"/>
        <w:outlineLvl w:val="1"/>
        <w:rPr>
          <w:rFonts w:ascii="黑体" w:hAnsi="黑体" w:eastAsia="仿宋_GB2312" w:cs="宋体"/>
          <w:bCs/>
          <w:kern w:val="0"/>
          <w:sz w:val="32"/>
          <w:szCs w:val="32"/>
        </w:rPr>
      </w:pPr>
      <w:bookmarkStart w:id="47" w:name="_Toc7643"/>
      <w:bookmarkStart w:id="48" w:name="_Toc5453"/>
      <w:r>
        <w:rPr>
          <w:rFonts w:hint="eastAsia" w:ascii="黑体" w:hAnsi="黑体" w:eastAsia="仿宋_GB2312" w:cs="宋体"/>
          <w:bCs/>
          <w:kern w:val="0"/>
          <w:sz w:val="32"/>
          <w:szCs w:val="32"/>
        </w:rPr>
        <w:t>八、《政府性基金预算财政拨款收入支出决算表》</w:t>
      </w:r>
      <w:bookmarkEnd w:id="47"/>
      <w:bookmarkEnd w:id="48"/>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M3ZDYwNjg1ZjU0OWUzODg2NDlmOWVjNTUxNzAxMzIifQ=="/>
    <w:docVar w:name="KSO_WPS_MARK_KEY" w:val="41ee2a61-2d54-4f93-83be-afdb9a40d732"/>
  </w:docVars>
  <w:rsids>
    <w:rsidRoot w:val="00DD45FA"/>
    <w:rsid w:val="00213C59"/>
    <w:rsid w:val="003210CE"/>
    <w:rsid w:val="00543173"/>
    <w:rsid w:val="00B70D59"/>
    <w:rsid w:val="00DC026E"/>
    <w:rsid w:val="00DD45FA"/>
    <w:rsid w:val="00F52A8D"/>
    <w:rsid w:val="019404F8"/>
    <w:rsid w:val="02BD3108"/>
    <w:rsid w:val="02F73D26"/>
    <w:rsid w:val="034D4FEF"/>
    <w:rsid w:val="035D1785"/>
    <w:rsid w:val="039F47CE"/>
    <w:rsid w:val="03E05CE8"/>
    <w:rsid w:val="03F973EE"/>
    <w:rsid w:val="043E5B56"/>
    <w:rsid w:val="045070A0"/>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167E21"/>
    <w:rsid w:val="0F78534A"/>
    <w:rsid w:val="0F89358A"/>
    <w:rsid w:val="0F8C6D51"/>
    <w:rsid w:val="105B0B5E"/>
    <w:rsid w:val="112E58D0"/>
    <w:rsid w:val="11731CAC"/>
    <w:rsid w:val="119500A0"/>
    <w:rsid w:val="11C0733B"/>
    <w:rsid w:val="11D50D17"/>
    <w:rsid w:val="120E0809"/>
    <w:rsid w:val="124424DF"/>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8E4DC9"/>
    <w:rsid w:val="19D26CD4"/>
    <w:rsid w:val="19E60D19"/>
    <w:rsid w:val="1A3E3450"/>
    <w:rsid w:val="1A9A4F66"/>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A1783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446E86"/>
    <w:rsid w:val="2E891204"/>
    <w:rsid w:val="2F3F0A28"/>
    <w:rsid w:val="2FBF7029"/>
    <w:rsid w:val="2FD0187F"/>
    <w:rsid w:val="2FD27414"/>
    <w:rsid w:val="2FFE4BB0"/>
    <w:rsid w:val="300E7B60"/>
    <w:rsid w:val="300F6E18"/>
    <w:rsid w:val="30862F5F"/>
    <w:rsid w:val="314029C9"/>
    <w:rsid w:val="31C63837"/>
    <w:rsid w:val="31C82E39"/>
    <w:rsid w:val="32601BAD"/>
    <w:rsid w:val="329F6389"/>
    <w:rsid w:val="3307407C"/>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382D61"/>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FE739F"/>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718C3"/>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156A"/>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9C27CB"/>
    <w:rsid w:val="62DD7D21"/>
    <w:rsid w:val="637D586B"/>
    <w:rsid w:val="63A5560B"/>
    <w:rsid w:val="63E9091F"/>
    <w:rsid w:val="64322AF9"/>
    <w:rsid w:val="64D6010D"/>
    <w:rsid w:val="64D82665"/>
    <w:rsid w:val="64E47C96"/>
    <w:rsid w:val="651E5741"/>
    <w:rsid w:val="6565317F"/>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A97653"/>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63029C"/>
    <w:rsid w:val="7C976D69"/>
    <w:rsid w:val="7CB53912"/>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5201</Words>
  <Characters>5780</Characters>
  <Lines>54</Lines>
  <Paragraphs>15</Paragraphs>
  <TotalTime>0</TotalTime>
  <ScaleCrop>false</ScaleCrop>
  <LinksUpToDate>false</LinksUpToDate>
  <CharactersWithSpaces>5791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2024-08-13T03:09:00Z</dcterms:created>
  <dc:creator>GXR</dc:creator>
  <cp:lastModifiedBy>Administrator</cp:lastModifiedBy>
  <dcterms:modified xsi:type="dcterms:W3CDTF">2024-09-07T22:54:43Z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