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莎车县国土资源执法监察大队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lang w:val="en-US" w:eastAsia="zh-CN"/>
        </w:rPr>
      </w:pPr>
      <w:bookmarkStart w:id="4" w:name="_Toc31238"/>
      <w:bookmarkStart w:id="5" w:name="_Toc2151"/>
      <w:r>
        <w:rPr>
          <w:rFonts w:hint="eastAsia" w:ascii="仿宋_GB2312" w:eastAsia="仿宋_GB2312"/>
          <w:sz w:val="32"/>
          <w:szCs w:val="32"/>
          <w:lang w:val="en-US" w:eastAsia="zh-CN"/>
        </w:rPr>
        <w:t>莎车县国土资源执法监察大队，为自治区自然资源厅下属四级预算单位，参照公务员法管理的事业单位。实行垂直管理，统一履行莎车县国土资源执法监察大队职能。</w:t>
      </w:r>
    </w:p>
    <w:p>
      <w:pPr>
        <w:ind w:firstLine="640" w:firstLineChars="200"/>
        <w:jc w:val="left"/>
        <w:rPr>
          <w:rFonts w:hint="eastAsia" w:ascii="仿宋_GB2312" w:eastAsia="仿宋_GB2312"/>
          <w:sz w:val="32"/>
          <w:szCs w:val="32"/>
        </w:rPr>
      </w:pPr>
      <w:bookmarkStart w:id="6" w:name="bookmark3"/>
      <w:bookmarkEnd w:id="6"/>
      <w:r>
        <w:rPr>
          <w:rFonts w:hint="eastAsia" w:ascii="仿宋_GB2312" w:eastAsia="仿宋_GB2312"/>
          <w:sz w:val="32"/>
          <w:szCs w:val="32"/>
          <w:lang w:val="en-US" w:eastAsia="zh-CN"/>
        </w:rPr>
        <w:t>1、</w:t>
      </w:r>
      <w:r>
        <w:rPr>
          <w:rFonts w:hint="eastAsia" w:ascii="仿宋_GB2312" w:eastAsia="仿宋_GB2312"/>
          <w:sz w:val="32"/>
          <w:szCs w:val="32"/>
        </w:rPr>
        <w:t>宣传和贯彻执行国家、自治区有关土地、矿产资源的法律、法规、规章和</w:t>
      </w:r>
      <w:r>
        <w:rPr>
          <w:rFonts w:hint="eastAsia" w:ascii="仿宋_GB2312" w:eastAsia="仿宋_GB2312"/>
          <w:sz w:val="32"/>
          <w:szCs w:val="32"/>
          <w:lang w:eastAsia="zh-CN"/>
        </w:rPr>
        <w:t>制度</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组织和实施对</w:t>
      </w:r>
      <w:r>
        <w:rPr>
          <w:rFonts w:hint="eastAsia" w:ascii="仿宋_GB2312" w:eastAsia="仿宋_GB2312"/>
          <w:sz w:val="32"/>
          <w:szCs w:val="32"/>
          <w:lang w:eastAsia="zh-CN"/>
        </w:rPr>
        <w:t>所辖区</w:t>
      </w:r>
      <w:r>
        <w:rPr>
          <w:rFonts w:hint="eastAsia" w:ascii="仿宋_GB2312" w:eastAsia="仿宋_GB2312"/>
          <w:sz w:val="32"/>
          <w:szCs w:val="32"/>
        </w:rPr>
        <w:t>执行土地、矿产资源法律、法规、规章情况的巡查，及时发现和制止土地、矿产资源违法行为。</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依法组织和实施重大土地、矿产资源违法案件的调查、取证、现场勘验工作，并进行查处。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负责重大土地、矿产资源</w:t>
      </w:r>
      <w:r>
        <w:rPr>
          <w:rFonts w:hint="eastAsia" w:ascii="仿宋_GB2312" w:eastAsia="仿宋_GB2312"/>
          <w:sz w:val="32"/>
          <w:szCs w:val="32"/>
          <w:lang w:eastAsia="zh-CN"/>
        </w:rPr>
        <w:t>卫片</w:t>
      </w:r>
      <w:r>
        <w:rPr>
          <w:rFonts w:hint="eastAsia" w:ascii="仿宋_GB2312" w:eastAsia="仿宋_GB2312"/>
          <w:sz w:val="32"/>
          <w:szCs w:val="32"/>
        </w:rPr>
        <w:t>违法</w:t>
      </w:r>
      <w:r>
        <w:rPr>
          <w:rFonts w:hint="eastAsia" w:ascii="仿宋_GB2312" w:eastAsia="仿宋_GB2312"/>
          <w:sz w:val="32"/>
          <w:szCs w:val="32"/>
          <w:lang w:eastAsia="zh-CN"/>
        </w:rPr>
        <w:t>图</w:t>
      </w:r>
      <w:r>
        <w:rPr>
          <w:rFonts w:hint="eastAsia" w:ascii="仿宋_GB2312" w:eastAsia="仿宋_GB2312"/>
          <w:sz w:val="32"/>
          <w:szCs w:val="32"/>
          <w:lang w:val="en-US" w:eastAsia="zh-CN"/>
        </w:rPr>
        <w:t>斑</w:t>
      </w:r>
      <w:r>
        <w:rPr>
          <w:rFonts w:hint="eastAsia" w:ascii="仿宋_GB2312" w:eastAsia="仿宋_GB2312"/>
          <w:sz w:val="32"/>
          <w:szCs w:val="32"/>
          <w:lang w:eastAsia="zh-CN"/>
        </w:rPr>
        <w:t>的</w:t>
      </w:r>
      <w:r>
        <w:rPr>
          <w:rFonts w:hint="eastAsia" w:ascii="仿宋_GB2312" w:eastAsia="仿宋_GB2312"/>
          <w:sz w:val="32"/>
          <w:szCs w:val="32"/>
        </w:rPr>
        <w:t>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w:t>
      </w:r>
      <w:r>
        <w:rPr>
          <w:rFonts w:hint="eastAsia" w:ascii="仿宋_GB2312" w:eastAsia="仿宋_GB2312"/>
          <w:sz w:val="32"/>
          <w:szCs w:val="32"/>
          <w:lang w:eastAsia="zh-CN"/>
        </w:rPr>
        <w:t>本县</w:t>
      </w:r>
      <w:r>
        <w:rPr>
          <w:rFonts w:hint="eastAsia" w:ascii="仿宋_GB2312" w:eastAsia="仿宋_GB2312"/>
          <w:sz w:val="32"/>
          <w:szCs w:val="32"/>
        </w:rPr>
        <w:t>国土资源执法监察队伍建设，统一管理机构编制、人员、经费。</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完成自治区党委、政府和上级国土资源管理部门交办的其他工作。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莎车县国土资源执法监察大队2023年度，实有人数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color w:val="000000" w:themeColor="text1"/>
          <w:spacing w:val="5"/>
          <w:sz w:val="31"/>
          <w:szCs w:val="31"/>
        </w:rPr>
      </w:pPr>
      <w:r>
        <w:rPr>
          <w:rFonts w:hint="eastAsia" w:ascii="仿宋" w:hAnsi="仿宋" w:eastAsia="仿宋" w:cs="仿宋"/>
          <w:color w:val="000000" w:themeColor="text1"/>
          <w:spacing w:val="5"/>
          <w:sz w:val="31"/>
          <w:szCs w:val="31"/>
        </w:rPr>
        <w:t>单位无下属预算单位，</w:t>
      </w:r>
      <w:r>
        <w:rPr>
          <w:rFonts w:hint="eastAsia" w:ascii="仿宋" w:hAnsi="仿宋" w:eastAsia="仿宋" w:cs="仿宋"/>
          <w:color w:val="000000" w:themeColor="text1"/>
          <w:spacing w:val="12"/>
          <w:sz w:val="31"/>
          <w:szCs w:val="31"/>
          <w:lang w:eastAsia="zh-CN"/>
        </w:rPr>
        <w:t>下设</w:t>
      </w:r>
      <w:r>
        <w:rPr>
          <w:rFonts w:hint="eastAsia" w:ascii="仿宋" w:hAnsi="仿宋" w:eastAsia="仿宋" w:cs="仿宋"/>
          <w:color w:val="000000" w:themeColor="text1"/>
          <w:spacing w:val="12"/>
          <w:sz w:val="31"/>
          <w:szCs w:val="31"/>
          <w:lang w:val="en-US" w:eastAsia="zh-CN"/>
        </w:rPr>
        <w:t>1个</w:t>
      </w:r>
      <w:r>
        <w:rPr>
          <w:rFonts w:hint="eastAsia" w:ascii="仿宋" w:hAnsi="仿宋" w:eastAsia="仿宋" w:cs="仿宋"/>
          <w:color w:val="000000" w:themeColor="text1"/>
          <w:spacing w:val="12"/>
          <w:sz w:val="31"/>
          <w:szCs w:val="31"/>
          <w:lang w:eastAsia="zh-CN"/>
        </w:rPr>
        <w:t>科室，分别是：办公</w:t>
      </w:r>
      <w:bookmarkStart w:id="49" w:name="_GoBack"/>
      <w:r>
        <w:rPr>
          <w:rFonts w:hint="eastAsia" w:ascii="仿宋" w:hAnsi="仿宋" w:eastAsia="仿宋" w:cs="仿宋"/>
          <w:color w:val="000000" w:themeColor="text1"/>
          <w:spacing w:val="12"/>
          <w:sz w:val="31"/>
          <w:szCs w:val="31"/>
          <w:lang w:eastAsia="zh-CN"/>
        </w:rPr>
        <w:t>室</w:t>
      </w:r>
      <w:bookmarkEnd w:id="49"/>
      <w:r>
        <w:rPr>
          <w:rFonts w:hint="eastAsia" w:ascii="仿宋" w:hAnsi="仿宋" w:eastAsia="仿宋" w:cs="仿宋"/>
          <w:color w:val="000000" w:themeColor="text1"/>
          <w:spacing w:val="5"/>
          <w:sz w:val="31"/>
          <w:szCs w:val="31"/>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color w:val="000000" w:themeColor="text1"/>
          <w:spacing w:val="5"/>
          <w:sz w:val="31"/>
          <w:szCs w:val="31"/>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color w:val="000000" w:themeColor="text1"/>
          <w:spacing w:val="5"/>
          <w:sz w:val="31"/>
          <w:szCs w:val="31"/>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color w:val="000000" w:themeColor="text1"/>
          <w:spacing w:val="5"/>
          <w:sz w:val="31"/>
          <w:szCs w:val="31"/>
        </w:rPr>
      </w:pPr>
    </w:p>
    <w:p>
      <w:pPr>
        <w:jc w:val="center"/>
        <w:outlineLvl w:val="0"/>
        <w:rPr>
          <w:rFonts w:ascii="黑体" w:hAnsi="黑体" w:eastAsia="黑体"/>
          <w:sz w:val="32"/>
          <w:szCs w:val="32"/>
        </w:rPr>
      </w:pPr>
      <w:bookmarkStart w:id="7" w:name="_Toc3092"/>
      <w:bookmarkStart w:id="8" w:name="_Toc29374"/>
      <w:r>
        <w:rPr>
          <w:rFonts w:hint="eastAsia" w:ascii="黑体" w:hAnsi="黑体" w:eastAsia="黑体"/>
          <w:sz w:val="32"/>
          <w:szCs w:val="32"/>
        </w:rPr>
        <w:t>第二部分 部门决算情况说明</w:t>
      </w:r>
      <w:bookmarkEnd w:id="7"/>
      <w:bookmarkEnd w:id="8"/>
    </w:p>
    <w:p>
      <w:pPr>
        <w:ind w:firstLine="640" w:firstLineChars="200"/>
        <w:outlineLvl w:val="1"/>
        <w:rPr>
          <w:rFonts w:ascii="黑体" w:hAnsi="黑体" w:eastAsia="黑体" w:cs="宋体"/>
          <w:bCs/>
          <w:kern w:val="0"/>
          <w:sz w:val="32"/>
          <w:szCs w:val="32"/>
        </w:rPr>
      </w:pPr>
      <w:bookmarkStart w:id="9" w:name="_Toc12566"/>
      <w:bookmarkStart w:id="10" w:name="_Toc25314"/>
      <w:r>
        <w:rPr>
          <w:rFonts w:hint="eastAsia" w:ascii="黑体" w:hAnsi="黑体" w:eastAsia="黑体" w:cs="宋体"/>
          <w:bCs/>
          <w:kern w:val="0"/>
          <w:sz w:val="32"/>
          <w:szCs w:val="32"/>
        </w:rPr>
        <w:t>一、收入支出决算总体情况说明</w:t>
      </w:r>
      <w:bookmarkEnd w:id="9"/>
      <w:bookmarkEnd w:id="10"/>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2023年度收入总计192.58万元，其中：本年收入合计182.76万元，使用非财政拨款结余0.00万元，年初结转和结余9.82万元。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2023年度支出总计192.58万元，其中：本年支出合计175.03万元，结余分配0.00万元，年末结转和结余17.55万元。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增加16.34万元</w:t>
      </w:r>
      <w:r>
        <w:rPr>
          <w:rFonts w:hint="eastAsia" w:ascii="仿宋_GB2312" w:eastAsia="仿宋_GB2312"/>
          <w:sz w:val="32"/>
          <w:szCs w:val="32"/>
        </w:rPr>
        <w:t>，</w:t>
      </w:r>
      <w:r>
        <w:rPr>
          <w:rFonts w:hint="eastAsia" w:ascii="仿宋_GB2312" w:eastAsia="仿宋_GB2312"/>
          <w:sz w:val="32"/>
          <w:szCs w:val="32"/>
          <w:lang w:val="zh-CN"/>
        </w:rPr>
        <w:t>增长9.27%</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1" w:name="_Toc12142"/>
      <w:bookmarkStart w:id="12" w:name="_Toc1979"/>
      <w:r>
        <w:rPr>
          <w:rFonts w:hint="eastAsia" w:ascii="黑体" w:hAnsi="黑体" w:eastAsia="黑体" w:cs="宋体"/>
          <w:bCs/>
          <w:kern w:val="0"/>
          <w:sz w:val="32"/>
          <w:szCs w:val="32"/>
        </w:rPr>
        <w:t>二、收入决算情况说明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本年收入182.76万元，其中：财政拨款收入</w:t>
      </w:r>
      <w:r>
        <w:rPr>
          <w:rFonts w:hint="eastAsia" w:ascii="仿宋_GB2312" w:eastAsia="仿宋_GB2312"/>
          <w:sz w:val="32"/>
          <w:szCs w:val="32"/>
          <w:lang w:val="zh-CN"/>
        </w:rPr>
        <w:t>182.72</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0.03</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3" w:name="_Toc27961"/>
      <w:bookmarkStart w:id="14" w:name="_Toc13201"/>
      <w:r>
        <w:rPr>
          <w:rFonts w:hint="eastAsia" w:ascii="黑体" w:hAnsi="黑体" w:eastAsia="黑体" w:cs="宋体"/>
          <w:bCs/>
          <w:kern w:val="0"/>
          <w:sz w:val="32"/>
          <w:szCs w:val="32"/>
        </w:rPr>
        <w:t>三、支出决算情况说明</w:t>
      </w:r>
      <w:bookmarkEnd w:id="13"/>
      <w:bookmarkEnd w:id="14"/>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本年支出175.03万元，其中：基本支出142.76万元，占81.56%；项目支出32.27万元，占18.44%；上缴上级支出0.00万元，占0.00%；经营支出0.00万元，占0.00%；对附属单位补助支出0.00万元，占0.00%。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5" w:name="_Toc26564"/>
      <w:bookmarkStart w:id="16" w:name="_Toc4393"/>
      <w:r>
        <w:rPr>
          <w:rFonts w:hint="eastAsia" w:ascii="黑体" w:hAnsi="黑体" w:eastAsia="黑体" w:cs="宋体"/>
          <w:bCs/>
          <w:kern w:val="0"/>
          <w:sz w:val="32"/>
          <w:szCs w:val="32"/>
        </w:rPr>
        <w:t>四、财政拨款收入支出决算总体情况说明</w:t>
      </w:r>
      <w:bookmarkEnd w:id="15"/>
      <w:bookmarkEnd w:id="16"/>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192.54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9.82</w:t>
      </w:r>
      <w:r>
        <w:rPr>
          <w:rFonts w:hint="eastAsia" w:ascii="仿宋_GB2312" w:eastAsia="仿宋_GB2312"/>
          <w:sz w:val="32"/>
          <w:szCs w:val="32"/>
        </w:rPr>
        <w:t>万元，本年财政拨款收入</w:t>
      </w:r>
      <w:r>
        <w:rPr>
          <w:rFonts w:hint="eastAsia" w:ascii="仿宋_GB2312" w:eastAsia="仿宋_GB2312"/>
          <w:sz w:val="32"/>
          <w:szCs w:val="32"/>
          <w:lang w:val="zh-CN"/>
        </w:rPr>
        <w:t>182.72</w:t>
      </w:r>
      <w:r>
        <w:rPr>
          <w:rFonts w:hint="eastAsia" w:ascii="仿宋_GB2312" w:eastAsia="仿宋_GB2312"/>
          <w:sz w:val="32"/>
          <w:szCs w:val="32"/>
        </w:rPr>
        <w:t>万元。财政拨款支出总计</w:t>
      </w:r>
      <w:r>
        <w:rPr>
          <w:rFonts w:hint="eastAsia" w:ascii="仿宋_GB2312" w:eastAsia="仿宋_GB2312"/>
          <w:sz w:val="32"/>
          <w:szCs w:val="32"/>
          <w:lang w:val="zh-CN"/>
        </w:rPr>
        <w:t>192.54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17.55</w:t>
      </w:r>
      <w:r>
        <w:rPr>
          <w:rFonts w:hint="eastAsia" w:ascii="仿宋_GB2312" w:eastAsia="仿宋_GB2312"/>
          <w:sz w:val="32"/>
          <w:szCs w:val="32"/>
        </w:rPr>
        <w:t>万元，本年财政拨款支出</w:t>
      </w:r>
      <w:r>
        <w:rPr>
          <w:rFonts w:hint="eastAsia" w:ascii="仿宋_GB2312" w:eastAsia="仿宋_GB2312"/>
          <w:sz w:val="32"/>
          <w:szCs w:val="32"/>
          <w:lang w:val="zh-CN"/>
        </w:rPr>
        <w:t>175.00</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增加16.37万元</w:t>
      </w:r>
      <w:r>
        <w:rPr>
          <w:rFonts w:hint="eastAsia" w:ascii="仿宋_GB2312" w:eastAsia="仿宋_GB2312"/>
          <w:sz w:val="32"/>
          <w:szCs w:val="32"/>
        </w:rPr>
        <w:t>，</w:t>
      </w:r>
      <w:r>
        <w:rPr>
          <w:rFonts w:hint="eastAsia" w:ascii="仿宋_GB2312" w:eastAsia="仿宋_GB2312"/>
          <w:sz w:val="32"/>
          <w:szCs w:val="32"/>
          <w:lang w:val="zh-CN"/>
        </w:rPr>
        <w:t>增长9.29%，</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160.98</w:t>
      </w:r>
      <w:r>
        <w:rPr>
          <w:rFonts w:hint="eastAsia" w:ascii="仿宋_GB2312" w:eastAsia="仿宋_GB2312"/>
          <w:sz w:val="32"/>
          <w:szCs w:val="32"/>
        </w:rPr>
        <w:t>万元，决算数</w:t>
      </w:r>
      <w:r>
        <w:rPr>
          <w:rFonts w:hint="eastAsia" w:ascii="仿宋_GB2312" w:eastAsia="仿宋_GB2312"/>
          <w:sz w:val="32"/>
          <w:szCs w:val="32"/>
          <w:lang w:val="zh-CN"/>
        </w:rPr>
        <w:t>192.54</w:t>
      </w:r>
      <w:r>
        <w:rPr>
          <w:rFonts w:hint="eastAsia" w:ascii="仿宋_GB2312" w:eastAsia="仿宋_GB2312"/>
          <w:sz w:val="32"/>
          <w:szCs w:val="32"/>
        </w:rPr>
        <w:t>万元，预决算差异率19.61%，主要原因是：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7" w:name="_Toc20360"/>
      <w:bookmarkStart w:id="18" w:name="_Toc13833"/>
      <w:r>
        <w:rPr>
          <w:rFonts w:hint="eastAsia" w:ascii="黑体" w:hAnsi="黑体" w:eastAsia="黑体" w:cs="宋体"/>
          <w:bCs/>
          <w:kern w:val="0"/>
          <w:sz w:val="32"/>
          <w:szCs w:val="32"/>
        </w:rPr>
        <w:t>五、一般公共预算财政拨款支出决算情况说明</w:t>
      </w:r>
      <w:bookmarkEnd w:id="17"/>
      <w:bookmarkEnd w:id="18"/>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2023年度一般公共预算财政拨款支出175.00万元，占本年支出合计的</w:t>
      </w:r>
      <w:r>
        <w:rPr>
          <w:rFonts w:hint="eastAsia" w:ascii="仿宋_GB2312" w:eastAsia="仿宋_GB2312"/>
          <w:sz w:val="32"/>
          <w:szCs w:val="32"/>
          <w:lang w:val="zh-CN"/>
        </w:rPr>
        <w:t>99.98%</w:t>
      </w:r>
      <w:r>
        <w:rPr>
          <w:rFonts w:hint="eastAsia" w:ascii="仿宋_GB2312" w:eastAsia="仿宋_GB2312"/>
          <w:sz w:val="32"/>
          <w:szCs w:val="32"/>
        </w:rPr>
        <w:t>。与上年相比，</w:t>
      </w:r>
      <w:r>
        <w:rPr>
          <w:rFonts w:hint="eastAsia" w:ascii="仿宋_GB2312" w:eastAsia="仿宋_GB2312"/>
          <w:sz w:val="32"/>
          <w:szCs w:val="32"/>
          <w:lang w:val="zh-CN"/>
        </w:rPr>
        <w:t>增加8.64万元</w:t>
      </w:r>
      <w:r>
        <w:rPr>
          <w:rFonts w:hint="eastAsia" w:ascii="仿宋_GB2312" w:eastAsia="仿宋_GB2312"/>
          <w:sz w:val="32"/>
          <w:szCs w:val="32"/>
        </w:rPr>
        <w:t>，</w:t>
      </w:r>
      <w:r>
        <w:rPr>
          <w:rFonts w:hint="eastAsia" w:ascii="仿宋_GB2312" w:eastAsia="仿宋_GB2312"/>
          <w:sz w:val="32"/>
          <w:szCs w:val="32"/>
          <w:lang w:val="zh-CN"/>
        </w:rPr>
        <w:t>增长5.19%，</w:t>
      </w:r>
      <w:r>
        <w:rPr>
          <w:rFonts w:hint="eastAsia" w:ascii="仿宋_GB2312" w:eastAsia="仿宋_GB2312"/>
          <w:sz w:val="32"/>
          <w:szCs w:val="32"/>
        </w:rPr>
        <w:t>主要原因是：人员调标增资，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160.98</w:t>
      </w:r>
      <w:r>
        <w:rPr>
          <w:rFonts w:hint="eastAsia" w:ascii="仿宋_GB2312" w:eastAsia="仿宋_GB2312"/>
          <w:sz w:val="32"/>
          <w:szCs w:val="32"/>
        </w:rPr>
        <w:t>万元，决算数</w:t>
      </w:r>
      <w:r>
        <w:rPr>
          <w:rFonts w:hint="eastAsia" w:ascii="仿宋_GB2312" w:eastAsia="仿宋_GB2312"/>
          <w:sz w:val="32"/>
          <w:szCs w:val="32"/>
          <w:lang w:val="zh-CN"/>
        </w:rPr>
        <w:t>175.00</w:t>
      </w:r>
      <w:r>
        <w:rPr>
          <w:rFonts w:hint="eastAsia" w:ascii="仿宋_GB2312" w:eastAsia="仿宋_GB2312"/>
          <w:sz w:val="32"/>
          <w:szCs w:val="32"/>
        </w:rPr>
        <w:t>万元，预决算差异率</w:t>
      </w:r>
      <w:r>
        <w:rPr>
          <w:rFonts w:hint="eastAsia" w:ascii="仿宋_GB2312" w:eastAsia="仿宋_GB2312"/>
          <w:sz w:val="32"/>
          <w:szCs w:val="32"/>
          <w:lang w:val="zh-CN"/>
        </w:rPr>
        <w:t>8.71%</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23.94</w:t>
      </w:r>
      <w:r>
        <w:rPr>
          <w:rFonts w:ascii="仿宋_GB2312" w:eastAsia="仿宋_GB2312"/>
          <w:kern w:val="2"/>
          <w:sz w:val="32"/>
          <w:szCs w:val="32"/>
          <w:lang w:val="zh-CN"/>
        </w:rPr>
        <w:t>万元，占</w:t>
      </w:r>
      <w:r>
        <w:rPr>
          <w:rFonts w:hint="eastAsia" w:ascii="仿宋_GB2312" w:eastAsia="仿宋_GB2312"/>
          <w:kern w:val="2"/>
          <w:sz w:val="32"/>
          <w:szCs w:val="32"/>
          <w:lang w:val="zh-CN"/>
        </w:rPr>
        <w:t>13.68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10.85</w:t>
      </w:r>
      <w:r>
        <w:rPr>
          <w:rFonts w:ascii="仿宋_GB2312" w:eastAsia="仿宋_GB2312"/>
          <w:kern w:val="2"/>
          <w:sz w:val="32"/>
          <w:szCs w:val="32"/>
          <w:lang w:val="zh-CN"/>
        </w:rPr>
        <w:t>万元，占</w:t>
      </w:r>
      <w:r>
        <w:rPr>
          <w:rFonts w:hint="eastAsia" w:ascii="仿宋_GB2312" w:eastAsia="仿宋_GB2312"/>
          <w:kern w:val="2"/>
          <w:sz w:val="32"/>
          <w:szCs w:val="32"/>
          <w:lang w:val="zh-CN"/>
        </w:rPr>
        <w:t>6.20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131.56</w:t>
      </w:r>
      <w:r>
        <w:rPr>
          <w:rFonts w:ascii="仿宋_GB2312" w:eastAsia="仿宋_GB2312"/>
          <w:kern w:val="2"/>
          <w:sz w:val="32"/>
          <w:szCs w:val="32"/>
          <w:lang w:val="zh-CN"/>
        </w:rPr>
        <w:t>万元，占</w:t>
      </w:r>
      <w:r>
        <w:rPr>
          <w:rFonts w:hint="eastAsia" w:ascii="仿宋_GB2312" w:eastAsia="仿宋_GB2312"/>
          <w:kern w:val="2"/>
          <w:sz w:val="32"/>
          <w:szCs w:val="32"/>
          <w:lang w:val="zh-CN"/>
        </w:rPr>
        <w:t>75.18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8.65</w:t>
      </w:r>
      <w:r>
        <w:rPr>
          <w:rFonts w:ascii="仿宋_GB2312" w:eastAsia="仿宋_GB2312"/>
          <w:kern w:val="2"/>
          <w:sz w:val="32"/>
          <w:szCs w:val="32"/>
          <w:lang w:val="zh-CN"/>
        </w:rPr>
        <w:t>万元，占</w:t>
      </w:r>
      <w:r>
        <w:rPr>
          <w:rFonts w:hint="eastAsia" w:ascii="仿宋_GB2312" w:eastAsia="仿宋_GB2312"/>
          <w:kern w:val="2"/>
          <w:sz w:val="32"/>
          <w:szCs w:val="32"/>
          <w:lang w:val="zh-CN"/>
        </w:rPr>
        <w:t>4.94</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1.卫生健康支出（类）行政事业单位医疗（款）行政单位医疗（项）:支出决算数为5.80万元，比上年决算增加0.41万元，增长7.61%，主要原因是：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eastAsia="仿宋_GB2312"/>
          <w:sz w:val="32"/>
          <w:szCs w:val="32"/>
        </w:rPr>
        <w:t>行政单位医疗</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2.卫生健康支出（类）行政事业单位医疗（款）公务员医疗补助（项）:支出决算数为5.05万元，比上年决算增加0.85万元，增长20.30%，主要原因是：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eastAsia="仿宋_GB2312"/>
          <w:sz w:val="32"/>
          <w:szCs w:val="32"/>
        </w:rPr>
        <w:t>公务员医疗补助</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3.自然资源海洋气象等支出（类）自然资源事务（款）其他自然资源事务支出（项）:支出决算数为32.27万元，比上年决算减少8.88万元，下降21.57%，主要原因是：</w:t>
      </w:r>
      <w:r>
        <w:rPr>
          <w:rFonts w:hint="eastAsia" w:eastAsia="仿宋_GB2312"/>
          <w:sz w:val="32"/>
          <w:szCs w:val="32"/>
          <w:lang w:val="zh-CN"/>
        </w:rPr>
        <w:t>执法案件降低，支出减少。</w:t>
      </w:r>
    </w:p>
    <w:p>
      <w:pPr>
        <w:ind w:firstLine="640" w:firstLineChars="200"/>
        <w:jc w:val="left"/>
        <w:rPr>
          <w:rFonts w:ascii="仿宋_GB2312" w:eastAsia="仿宋_GB2312"/>
          <w:sz w:val="32"/>
          <w:szCs w:val="32"/>
        </w:rPr>
      </w:pPr>
      <w:r>
        <w:rPr>
          <w:rFonts w:hint="eastAsia" w:eastAsia="仿宋_GB2312"/>
          <w:sz w:val="32"/>
          <w:szCs w:val="32"/>
        </w:rPr>
        <w:t>4.自然资源海洋气象等支出（类）自然资源事务（款）行政运行（项）:支出决算数为99.28万元，比上年决算增加7.20万元，增长7.82%，主要原因是：</w:t>
      </w:r>
      <w:r>
        <w:rPr>
          <w:rFonts w:hint="eastAsia" w:ascii="仿宋_GB2312" w:eastAsia="仿宋_GB2312"/>
          <w:sz w:val="32"/>
          <w:szCs w:val="32"/>
        </w:rPr>
        <w:t>人员调标增资，</w:t>
      </w:r>
      <w:r>
        <w:rPr>
          <w:rFonts w:hint="eastAsia" w:eastAsia="仿宋_GB2312"/>
          <w:sz w:val="32"/>
          <w:szCs w:val="32"/>
        </w:rPr>
        <w:t>行政运行</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5.住房保障支出（类）住房改革支出（款）住房公积金（项）:支出决算数为8.65万元，比上年决算增加1.24万元，增长16.71%，主要原因是：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eastAsia="仿宋_GB2312"/>
          <w:sz w:val="32"/>
          <w:szCs w:val="32"/>
        </w:rPr>
        <w:t>住房公积金</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eastAsia="zh-CN"/>
        </w:rPr>
      </w:pPr>
      <w:r>
        <w:rPr>
          <w:rFonts w:hint="eastAsia" w:eastAsia="仿宋_GB2312"/>
          <w:sz w:val="32"/>
          <w:szCs w:val="32"/>
        </w:rPr>
        <w:t>6.社会保障和就业支出（类）行政事业单位养老支出（款）行政单位离退休（项）:支出决算数为5.47万元，比上年决算减少1.56万元，下降22.21%，主要原因是：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7.社会保障和就业支出（类）行政事业单位养老支出（款）机关事业单位职业年金缴费支出（项）:支出决算数为7.73万元，比上年决算增加7.73万元，增长100%，主要原因是：</w:t>
      </w:r>
      <w:r>
        <w:rPr>
          <w:rFonts w:hint="eastAsia" w:eastAsia="仿宋_GB2312"/>
          <w:sz w:val="32"/>
          <w:szCs w:val="32"/>
          <w:lang w:eastAsia="zh-CN"/>
        </w:rPr>
        <w:t>本年</w:t>
      </w:r>
      <w:r>
        <w:rPr>
          <w:rFonts w:hint="eastAsia" w:eastAsia="仿宋_GB2312"/>
          <w:sz w:val="32"/>
          <w:szCs w:val="32"/>
          <w:lang w:val="en-US" w:eastAsia="zh-CN"/>
        </w:rPr>
        <w:t>职业年金坐实，支出增加，上年无此支出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8.社会保障和就业支出（类）行政事业单位养老支出（款）机关事业单位基本养老保险缴费支出（项）:支出决算数为10.75万元，比上年决算增加1.65万元，增长18.15%，主要原因是：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eastAsia="仿宋_GB2312"/>
          <w:sz w:val="32"/>
          <w:szCs w:val="32"/>
        </w:rPr>
        <w:t>基本养老保险缴费</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142.72万元，其中：人员经费135.08万元，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公用经费7.64万元，包括：办公费、电费、邮电费、取暖费、差旅费、工会经费、福利费、其他交通费用、其他商品和服务支出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。公务用车购置数0辆，公务用车保有量0辆。国有资产占用情况中固定资产车辆2辆，与公务用车保有量差异原因是：固定资产车辆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与全年预算相比,财政拨款“三公”经费支出全年预算数0.00万元，决算数0.00万元，预决算差异率0.00%，主要原因是：我单位无</w:t>
      </w:r>
      <w:r>
        <w:rPr>
          <w:rFonts w:hint="eastAsia" w:ascii="仿宋_GB2312" w:eastAsia="仿宋_GB2312"/>
          <w:sz w:val="32"/>
          <w:szCs w:val="32"/>
          <w:lang w:val="en-US" w:eastAsia="zh-CN"/>
        </w:rPr>
        <w:t>“三公”经费支出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；公务用车购置费全年预算数0.00万元，决算数0.00万元，预决算差异率0.00%，主要原因是：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；公务用车运行费全年预算数0.00万元，决算数0.00万元，预决算差异率0.00%，主要原因是：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仿宋_GB2312" w:eastAsia="仿宋_GB2312"/>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pPr>
        <w:ind w:firstLine="640" w:firstLineChars="200"/>
        <w:rPr>
          <w:rFonts w:eastAsia="仿宋_GB2312"/>
          <w:sz w:val="32"/>
          <w:szCs w:val="32"/>
          <w:lang w:val="zh-CN"/>
        </w:rPr>
      </w:pPr>
      <w:bookmarkStart w:id="25" w:name="_Toc227"/>
      <w:bookmarkStart w:id="26" w:name="_Toc26704"/>
      <w:r>
        <w:rPr>
          <w:rFonts w:hint="eastAsia" w:eastAsia="仿宋_GB2312"/>
          <w:sz w:val="32"/>
          <w:szCs w:val="32"/>
          <w:lang w:val="zh-CN"/>
        </w:rPr>
        <w:t>2023年度</w:t>
      </w:r>
      <w:r>
        <w:rPr>
          <w:rFonts w:hint="eastAsia" w:eastAsia="仿宋_GB2312"/>
          <w:sz w:val="32"/>
          <w:szCs w:val="32"/>
        </w:rPr>
        <w:t>莎车县国土资源执法监察大队（参照公务员法管理事业单位）机关运行经费支出7.64万元，比上年减少0.15万元，下降1.88%，主要原因是：厉行节约</w:t>
      </w:r>
      <w:r>
        <w:rPr>
          <w:rFonts w:hint="eastAsia" w:eastAsia="仿宋_GB2312"/>
          <w:sz w:val="32"/>
          <w:szCs w:val="32"/>
          <w:lang w:eastAsia="zh-CN"/>
        </w:rPr>
        <w:t>，减少</w:t>
      </w:r>
      <w:r>
        <w:rPr>
          <w:rFonts w:hint="eastAsia" w:eastAsia="仿宋_GB2312"/>
          <w:sz w:val="32"/>
          <w:szCs w:val="32"/>
        </w:rPr>
        <w:t>开支。</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66.51</w:t>
      </w:r>
      <w:r>
        <w:rPr>
          <w:rFonts w:hint="eastAsia" w:eastAsia="仿宋_GB2312"/>
          <w:sz w:val="32"/>
          <w:szCs w:val="32"/>
        </w:rPr>
        <w:t>万元，房</w:t>
      </w:r>
      <w:r>
        <w:rPr>
          <w:rFonts w:hint="eastAsia" w:eastAsia="仿宋_GB2312"/>
          <w:sz w:val="32"/>
          <w:szCs w:val="32"/>
          <w:lang w:val="zh-CN"/>
        </w:rPr>
        <w:t>屋103.0平方米，价值9.25万元。车辆2辆，价值35.83万元，其中：副部（省）级及以上领导用车0辆、主要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sz w:val="32"/>
          <w:szCs w:val="32"/>
          <w:lang w:eastAsia="zh-CN"/>
        </w:rPr>
      </w:pPr>
      <w:bookmarkStart w:id="31" w:name="_Toc3250"/>
      <w:bookmarkStart w:id="32" w:name="_Toc24143"/>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jc w:val="center"/>
        <w:outlineLvl w:val="0"/>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E378D0"/>
    <w:rsid w:val="00213C59"/>
    <w:rsid w:val="003210CE"/>
    <w:rsid w:val="003A03B0"/>
    <w:rsid w:val="004550C4"/>
    <w:rsid w:val="00B70D59"/>
    <w:rsid w:val="00E378D0"/>
    <w:rsid w:val="00F52A8D"/>
    <w:rsid w:val="019404F8"/>
    <w:rsid w:val="02BD3108"/>
    <w:rsid w:val="02F73D26"/>
    <w:rsid w:val="034D4FEF"/>
    <w:rsid w:val="035D1785"/>
    <w:rsid w:val="039F47CE"/>
    <w:rsid w:val="03E05CE8"/>
    <w:rsid w:val="03F973EE"/>
    <w:rsid w:val="043E5B56"/>
    <w:rsid w:val="04C04386"/>
    <w:rsid w:val="04FA68C4"/>
    <w:rsid w:val="053F5AE6"/>
    <w:rsid w:val="057C0B0F"/>
    <w:rsid w:val="05D42BB1"/>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6D2E72"/>
    <w:rsid w:val="0A7809B7"/>
    <w:rsid w:val="0A7B4867"/>
    <w:rsid w:val="0A840954"/>
    <w:rsid w:val="0A9928ED"/>
    <w:rsid w:val="0B61769D"/>
    <w:rsid w:val="0B8C3ECC"/>
    <w:rsid w:val="0B95121D"/>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A368DE"/>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1BE2150"/>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5B42D0"/>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9D12A9"/>
    <w:rsid w:val="3CA72BE8"/>
    <w:rsid w:val="3CF37F8C"/>
    <w:rsid w:val="3D137554"/>
    <w:rsid w:val="3D41108F"/>
    <w:rsid w:val="3D5275AC"/>
    <w:rsid w:val="3DCC2473"/>
    <w:rsid w:val="3DEB0883"/>
    <w:rsid w:val="3E2527BF"/>
    <w:rsid w:val="3E731662"/>
    <w:rsid w:val="3E7858FF"/>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E15B92"/>
    <w:rsid w:val="45F55196"/>
    <w:rsid w:val="46061BDC"/>
    <w:rsid w:val="461404F8"/>
    <w:rsid w:val="46413018"/>
    <w:rsid w:val="464B7E04"/>
    <w:rsid w:val="468041AA"/>
    <w:rsid w:val="468123C6"/>
    <w:rsid w:val="46901EEE"/>
    <w:rsid w:val="469C74D2"/>
    <w:rsid w:val="47445515"/>
    <w:rsid w:val="474B4782"/>
    <w:rsid w:val="47B908EC"/>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4A1DA9"/>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596508"/>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275301"/>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787815"/>
    <w:rsid w:val="6D8030E4"/>
    <w:rsid w:val="6D891EF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D045E9"/>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5264</Words>
  <Characters>5859</Characters>
  <Lines>55</Lines>
  <Paragraphs>15</Paragraphs>
  <TotalTime>0</TotalTime>
  <ScaleCrop>false</ScaleCrop>
  <LinksUpToDate>false</LinksUpToDate>
  <CharactersWithSpaces>5870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2024-08-13T03:10:00Z</dcterms:created>
  <dc:creator>GXR</dc:creator>
  <cp:lastModifiedBy>Administrator</cp:lastModifiedBy>
  <dcterms:modified xsi:type="dcterms:W3CDTF">2024-09-07T22:47:56Z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