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C2574">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1180AB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1E9AE6D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塔城地区国土资源执法监察支队</w:t>
      </w:r>
    </w:p>
    <w:p w14:paraId="1498F0C0">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77D25F6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68147EF7">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719E7DD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02EFD4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0E71A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5DD7F5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2E54CE7">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372646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7639BFE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32DB928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6F092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407DC5E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4D6F0CA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4A0791B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4600BF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209028EB">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49E90BE6">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F0B8185">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5AE4BA50">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196901DC">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5CB591F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3BBE9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2577D0A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66105B9B">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5A101A3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6EC0F46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2047D4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72BA6BF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4053509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6C5C404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16CCAA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65F2A8E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7997D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32B77644">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6133A087">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EA6012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49FB0B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79C94FC4">
      <w:pPr>
        <w:rPr>
          <w:rFonts w:hint="eastAsia" w:ascii="仿宋_GB2312" w:eastAsia="仿宋_GB2312"/>
          <w:sz w:val="32"/>
          <w:szCs w:val="32"/>
          <w:lang w:eastAsia="zh-CN"/>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塔城地区国土资源执法监察支队，为自治区自然资源厅下属副县级单位，参照公务员法管理的事业单位。实行垂直管理，统一履行塔城地区国土资源执法监察职能。</w:t>
      </w:r>
    </w:p>
    <w:p w14:paraId="70ED9E25">
      <w:pPr>
        <w:rPr>
          <w:rFonts w:hint="eastAsia" w:ascii="仿宋_GB2312" w:eastAsia="仿宋_GB2312"/>
          <w:sz w:val="32"/>
          <w:szCs w:val="32"/>
          <w:lang w:eastAsia="zh-CN"/>
        </w:rPr>
      </w:pPr>
      <w:r>
        <w:rPr>
          <w:rFonts w:ascii="仿宋_GB2312" w:eastAsia="仿宋_GB2312"/>
          <w:sz w:val="32"/>
          <w:szCs w:val="32"/>
        </w:rPr>
        <w:t>　　1、宣传和贯彻执行国家、自治区有关土地、矿产资源的法律、法规、规章和政策。</w:t>
      </w:r>
    </w:p>
    <w:p w14:paraId="133E98E2">
      <w:pPr>
        <w:rPr>
          <w:rFonts w:hint="eastAsia" w:ascii="仿宋_GB2312" w:eastAsia="仿宋_GB2312"/>
          <w:sz w:val="32"/>
          <w:szCs w:val="32"/>
          <w:lang w:eastAsia="zh-CN"/>
        </w:rPr>
      </w:pPr>
      <w:r>
        <w:rPr>
          <w:rFonts w:ascii="仿宋_GB2312" w:eastAsia="仿宋_GB2312"/>
          <w:sz w:val="32"/>
          <w:szCs w:val="32"/>
        </w:rPr>
        <w:t>　　2、按照自治区国土资源执法监察工作程序和要求，组织和实施对本地州市执行土地、矿产资源法律法规、规章情况进行监督监察和动态巡查，及时发现和制止土地、矿产资源违法行为。</w:t>
      </w:r>
    </w:p>
    <w:p w14:paraId="5441FD18">
      <w:pPr>
        <w:rPr>
          <w:rFonts w:hint="eastAsia" w:ascii="仿宋_GB2312" w:eastAsia="仿宋_GB2312"/>
          <w:sz w:val="32"/>
          <w:szCs w:val="32"/>
          <w:lang w:eastAsia="zh-CN"/>
        </w:rPr>
      </w:pPr>
      <w:r>
        <w:rPr>
          <w:rFonts w:ascii="仿宋_GB2312" w:eastAsia="仿宋_GB2312"/>
          <w:sz w:val="32"/>
          <w:szCs w:val="32"/>
        </w:rPr>
        <w:t>　　3、依法组织和实施对市土地、矿产资源违法案件进行调查、取证和现场勘验，并提交土地，矿产资源违法案件调查报告和查处意见。发现重大土地、矿产资源违法案件线索，及时上报。</w:t>
      </w:r>
    </w:p>
    <w:p w14:paraId="22132EA7">
      <w:pPr>
        <w:rPr>
          <w:rFonts w:hint="eastAsia" w:ascii="仿宋_GB2312" w:eastAsia="仿宋_GB2312"/>
          <w:sz w:val="32"/>
          <w:szCs w:val="32"/>
          <w:lang w:eastAsia="zh-CN"/>
        </w:rPr>
      </w:pPr>
      <w:r>
        <w:rPr>
          <w:rFonts w:ascii="仿宋_GB2312" w:eastAsia="仿宋_GB2312"/>
          <w:sz w:val="32"/>
          <w:szCs w:val="32"/>
        </w:rPr>
        <w:t>　　4、负责对土地、矿产资源违法案件查处决定的督办。</w:t>
      </w:r>
    </w:p>
    <w:p w14:paraId="5EC01826">
      <w:pPr>
        <w:rPr>
          <w:rFonts w:ascii="黑体" w:hAnsi="黑体" w:eastAsia="黑体" w:cs="宋体"/>
          <w:bCs/>
          <w:kern w:val="0"/>
          <w:sz w:val="32"/>
          <w:szCs w:val="32"/>
        </w:rPr>
      </w:pPr>
      <w:r>
        <w:rPr>
          <w:rFonts w:ascii="仿宋_GB2312" w:eastAsia="仿宋_GB2312"/>
          <w:sz w:val="32"/>
          <w:szCs w:val="32"/>
        </w:rPr>
        <w:t>　　5、完成自治区国土资源厅和自治区国土资源执法监察总队交办的其他工作</w:t>
      </w:r>
      <w:r>
        <w:rPr>
          <w:rFonts w:hint="eastAsia" w:ascii="仿宋_GB2312" w:eastAsia="仿宋_GB2312"/>
          <w:sz w:val="32"/>
          <w:szCs w:val="32"/>
        </w:rPr>
        <w:t>。</w:t>
      </w:r>
    </w:p>
    <w:p w14:paraId="31BD7CD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39C8A1C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塔城地区国土资源执法监察支队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p>
    <w:p w14:paraId="0E3C8632">
      <w:pPr>
        <w:ind w:firstLine="640" w:firstLineChars="200"/>
        <w:rPr>
          <w:rFonts w:ascii="仿宋_GB2312" w:hAnsi="宋体" w:eastAsia="仿宋_GB2312" w:cs="宋体"/>
          <w:kern w:val="0"/>
          <w:sz w:val="32"/>
          <w:szCs w:val="32"/>
        </w:rPr>
      </w:pPr>
      <w:r>
        <w:rPr>
          <w:rFonts w:hint="eastAsia" w:ascii="仿宋_GB2312" w:hAnsi="黑体" w:eastAsia="仿宋_GB2312" w:cs="宋体"/>
          <w:bCs/>
          <w:kern w:val="0"/>
          <w:sz w:val="32"/>
          <w:szCs w:val="32"/>
          <w:highlight w:val="none"/>
        </w:rPr>
        <w:t>单位无下属预算单位</w:t>
      </w:r>
      <w:r>
        <w:rPr>
          <w:rFonts w:hint="eastAsia" w:ascii="仿宋_GB2312" w:hAnsi="黑体" w:eastAsia="仿宋_GB2312" w:cs="宋体"/>
          <w:bCs/>
          <w:kern w:val="0"/>
          <w:sz w:val="32"/>
          <w:szCs w:val="32"/>
          <w:highlight w:val="none"/>
          <w:lang w:eastAsia="zh-CN"/>
        </w:rPr>
        <w:t>，</w:t>
      </w:r>
      <w:r>
        <w:rPr>
          <w:rFonts w:hint="eastAsia" w:ascii="仿宋_GB2312" w:hAnsi="黑体" w:eastAsia="仿宋_GB2312" w:cs="宋体"/>
          <w:bCs/>
          <w:kern w:val="0"/>
          <w:sz w:val="32"/>
          <w:szCs w:val="32"/>
        </w:rPr>
        <w:t>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个处室，分别是：土地执法监察科、矿产执法监察科、办公室</w:t>
      </w:r>
      <w:r>
        <w:rPr>
          <w:rFonts w:hint="eastAsia" w:ascii="仿宋_GB2312" w:hAnsi="宋体" w:eastAsia="仿宋_GB2312" w:cs="宋体"/>
          <w:kern w:val="0"/>
          <w:sz w:val="32"/>
          <w:szCs w:val="32"/>
        </w:rPr>
        <w:t>。</w:t>
      </w:r>
    </w:p>
    <w:p w14:paraId="597EE79F">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p>
    <w:p w14:paraId="4FB09C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p>
    <w:p w14:paraId="048E337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5C557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5D721E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B88EB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A674C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FD20A3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6567E64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D4E4F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D7A71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9F3C6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88679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5C6D8D9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71311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450519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6783A2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55E7D8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28578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B50581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117763A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rPr>
      </w:pPr>
    </w:p>
    <w:p w14:paraId="3B9E933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1DB46FC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525604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328.98万元，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295.69万元，使用非财政拨款结余0.00万元，年初结转和结余33.29万元。</w:t>
      </w:r>
    </w:p>
    <w:p w14:paraId="79A8577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328.98万元，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323.34万元，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0.00万元，年末结转和结余5.64万元。</w:t>
      </w:r>
    </w:p>
    <w:p w14:paraId="16EF471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减少9.91万元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下降2.92%</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年度本着节约集约利用的原则，在不影响工作正常开展的前提下，缩减开支</w:t>
      </w:r>
      <w:r>
        <w:rPr>
          <w:rFonts w:hint="eastAsia" w:ascii="仿宋_GB2312" w:eastAsia="仿宋_GB2312"/>
          <w:color w:val="auto"/>
          <w:spacing w:val="0"/>
          <w:sz w:val="32"/>
          <w:szCs w:val="32"/>
          <w:highlight w:val="none"/>
          <w:lang w:eastAsia="zh-CN"/>
        </w:rPr>
        <w:t>。</w:t>
      </w:r>
    </w:p>
    <w:p w14:paraId="39663F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28AAFD8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295.69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295.65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3F26142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3A7973A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本年支出323.34万元，其中：基本支出187.69万元，占58.05%；项目支出135.65万元，占41.95%；上缴上级支出0.00万元，占0.00%；经营支出0.00万元，占0.00%；对附属单位补助支出0.00万元，占0.00%。</w:t>
      </w:r>
    </w:p>
    <w:p w14:paraId="6FFBFFD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4A3D55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328.94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33.29</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295.65</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328.94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5.64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323.30</w:t>
      </w:r>
      <w:r>
        <w:rPr>
          <w:rFonts w:hint="eastAsia" w:ascii="仿宋_GB2312" w:eastAsia="仿宋_GB2312"/>
          <w:color w:val="auto"/>
          <w:spacing w:val="0"/>
          <w:sz w:val="32"/>
          <w:szCs w:val="32"/>
          <w:highlight w:val="none"/>
          <w:lang w:eastAsia="zh-CN"/>
        </w:rPr>
        <w:t>万元。</w:t>
      </w:r>
    </w:p>
    <w:p w14:paraId="772F12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减少9.91万元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下降2.93%，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年度本着节约集约利用的原则，在不影响工作正常开展的前提下，缩减开支</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289.86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328.94</w:t>
      </w:r>
      <w:r>
        <w:rPr>
          <w:rFonts w:hint="eastAsia" w:ascii="仿宋_GB2312" w:eastAsia="仿宋_GB2312"/>
          <w:color w:val="auto"/>
          <w:spacing w:val="0"/>
          <w:sz w:val="32"/>
          <w:szCs w:val="32"/>
          <w:highlight w:val="none"/>
          <w:lang w:eastAsia="zh-CN"/>
        </w:rPr>
        <w:t>万元，预决算差异率13.48%，主要原因是：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年度人员工资提高标准及补发绩效工资，相关费用增长</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14:paraId="0928616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2DA6EE1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0E1DBF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2023年度一般公共预算财政拨款支出323.30万元，占本年支出合计的</w:t>
      </w:r>
      <w:r>
        <w:rPr>
          <w:rFonts w:hint="eastAsia" w:ascii="仿宋_GB2312" w:eastAsia="仿宋_GB2312"/>
          <w:color w:val="auto"/>
          <w:spacing w:val="0"/>
          <w:sz w:val="32"/>
          <w:szCs w:val="32"/>
          <w:highlight w:val="none"/>
          <w:lang w:val="zh-CN" w:eastAsia="zh-CN"/>
        </w:rPr>
        <w:t>99.99%</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增加17.73万元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增长5.80%，</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年度人员工资提高标准及补发绩效工资，相关费用增长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289.86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323.30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11.53%</w:t>
      </w:r>
      <w:r>
        <w:rPr>
          <w:rFonts w:hint="eastAsia" w:ascii="仿宋_GB2312" w:eastAsia="仿宋_GB2312"/>
          <w:color w:val="auto"/>
          <w:spacing w:val="0"/>
          <w:sz w:val="32"/>
          <w:szCs w:val="32"/>
          <w:highlight w:val="none"/>
          <w:lang w:eastAsia="zh-CN"/>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年度人员工资提高标准及补发绩效工资，相关费用增长</w:t>
      </w:r>
      <w:r>
        <w:rPr>
          <w:rFonts w:hint="eastAsia" w:ascii="仿宋_GB2312" w:eastAsia="仿宋_GB2312"/>
          <w:sz w:val="32"/>
          <w:szCs w:val="32"/>
          <w:lang w:eastAsia="zh-CN"/>
        </w:rPr>
        <w:t>，预决算产生差异</w:t>
      </w:r>
      <w:r>
        <w:rPr>
          <w:rFonts w:hint="eastAsia" w:ascii="仿宋_GB2312" w:eastAsia="仿宋_GB2312"/>
          <w:color w:val="auto"/>
          <w:spacing w:val="0"/>
          <w:sz w:val="32"/>
          <w:szCs w:val="32"/>
          <w:highlight w:val="none"/>
          <w:lang w:eastAsia="zh-CN"/>
        </w:rPr>
        <w:t>。</w:t>
      </w:r>
    </w:p>
    <w:p w14:paraId="4E761774">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63A4ADA">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25.34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7.84</w:t>
      </w:r>
      <w:r>
        <w:rPr>
          <w:rFonts w:hint="default" w:ascii="仿宋_GB2312" w:hAnsi="Times New Roman" w:eastAsia="仿宋_GB2312" w:cs="Times New Roman"/>
          <w:color w:val="auto"/>
          <w:spacing w:val="0"/>
          <w:kern w:val="2"/>
          <w:sz w:val="32"/>
          <w:szCs w:val="32"/>
          <w:highlight w:val="none"/>
          <w:lang w:val="zh-CN" w:eastAsia="zh-CN" w:bidi="ar-SA"/>
        </w:rPr>
        <w:t>%；</w:t>
      </w:r>
    </w:p>
    <w:p w14:paraId="1925E9F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15.29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4.73</w:t>
      </w:r>
      <w:r>
        <w:rPr>
          <w:rFonts w:hint="default" w:ascii="仿宋_GB2312" w:hAnsi="Times New Roman" w:eastAsia="仿宋_GB2312" w:cs="Times New Roman"/>
          <w:color w:val="auto"/>
          <w:spacing w:val="0"/>
          <w:kern w:val="2"/>
          <w:sz w:val="32"/>
          <w:szCs w:val="32"/>
          <w:highlight w:val="none"/>
          <w:lang w:val="zh-CN" w:eastAsia="zh-CN" w:bidi="ar-SA"/>
        </w:rPr>
        <w:t>%；</w:t>
      </w:r>
    </w:p>
    <w:p w14:paraId="24E6E67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270.49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83.67</w:t>
      </w:r>
      <w:r>
        <w:rPr>
          <w:rFonts w:hint="default" w:ascii="仿宋_GB2312" w:hAnsi="Times New Roman" w:eastAsia="仿宋_GB2312" w:cs="Times New Roman"/>
          <w:color w:val="auto"/>
          <w:spacing w:val="0"/>
          <w:kern w:val="2"/>
          <w:sz w:val="32"/>
          <w:szCs w:val="32"/>
          <w:highlight w:val="none"/>
          <w:lang w:val="zh-CN" w:eastAsia="zh-CN" w:bidi="ar-SA"/>
        </w:rPr>
        <w:t>%；</w:t>
      </w:r>
    </w:p>
    <w:p w14:paraId="0171259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12.18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3.77</w:t>
      </w:r>
      <w:r>
        <w:rPr>
          <w:rFonts w:hint="default" w:ascii="仿宋_GB2312" w:hAnsi="Times New Roman" w:eastAsia="仿宋_GB2312" w:cs="Times New Roman"/>
          <w:color w:val="auto"/>
          <w:spacing w:val="0"/>
          <w:kern w:val="2"/>
          <w:sz w:val="32"/>
          <w:szCs w:val="32"/>
          <w:highlight w:val="none"/>
          <w:lang w:val="zh-CN" w:eastAsia="zh-CN" w:bidi="ar-SA"/>
        </w:rPr>
        <w:t>%；</w:t>
      </w:r>
    </w:p>
    <w:p w14:paraId="0F69AD3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CC61C2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1.卫生健康支出（类）行政事业单位医疗（款）行政单位医疗（项）:支出决算数为8.18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4.19%，主要原因是：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w:t>
      </w:r>
      <w:r>
        <w:rPr>
          <w:rFonts w:hint="eastAsia" w:ascii="Times New Roman" w:hAnsi="Times New Roman" w:eastAsia="仿宋_GB2312" w:cs="Times New Roman"/>
          <w:color w:val="auto"/>
          <w:kern w:val="2"/>
          <w:sz w:val="32"/>
          <w:szCs w:val="32"/>
          <w:highlight w:val="none"/>
          <w:lang w:val="en-US" w:eastAsia="zh-CN" w:bidi="ar-SA"/>
        </w:rPr>
        <w:t>行政单位医疗</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sz w:val="32"/>
          <w:szCs w:val="32"/>
        </w:rPr>
        <w:t>增长</w:t>
      </w:r>
      <w:r>
        <w:rPr>
          <w:rFonts w:hint="eastAsia" w:eastAsia="仿宋_GB2312" w:cs="Times New Roman"/>
          <w:color w:val="auto"/>
          <w:kern w:val="2"/>
          <w:sz w:val="32"/>
          <w:szCs w:val="32"/>
          <w:highlight w:val="none"/>
          <w:lang w:val="zh-CN" w:eastAsia="zh-CN" w:bidi="ar-SA"/>
        </w:rPr>
        <w:t>。</w:t>
      </w:r>
    </w:p>
    <w:p w14:paraId="7134276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2.卫生健康支出（类）行政事业单位医疗（款）公务员医疗补助（项）:支出决算数为7.11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16.37%，主要原因是：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sz w:val="32"/>
          <w:szCs w:val="32"/>
        </w:rPr>
        <w:t>增长</w:t>
      </w:r>
      <w:r>
        <w:rPr>
          <w:rFonts w:hint="eastAsia" w:eastAsia="仿宋_GB2312" w:cs="Times New Roman"/>
          <w:color w:val="auto"/>
          <w:kern w:val="2"/>
          <w:sz w:val="32"/>
          <w:szCs w:val="32"/>
          <w:highlight w:val="none"/>
          <w:lang w:val="zh-CN" w:eastAsia="zh-CN" w:bidi="ar-SA"/>
        </w:rPr>
        <w:t>。</w:t>
      </w:r>
    </w:p>
    <w:p w14:paraId="588D53A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3.自然资源海洋气象等支出（类）自然资源事务（款）其他自然资源事务支出（项）:支出决算数为135.65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35.93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36.03%，主要原因是</w:t>
      </w:r>
      <w:r>
        <w:rPr>
          <w:rFonts w:hint="eastAsia" w:eastAsia="仿宋_GB2312" w:cs="Times New Roman"/>
          <w:color w:val="auto"/>
          <w:kern w:val="2"/>
          <w:sz w:val="32"/>
          <w:szCs w:val="32"/>
          <w:highlight w:val="none"/>
          <w:lang w:val="en-US" w:eastAsia="zh-CN" w:bidi="ar-SA"/>
        </w:rPr>
        <w:t>执法办案经费增加</w:t>
      </w:r>
      <w:r>
        <w:rPr>
          <w:rFonts w:hint="eastAsia" w:ascii="仿宋_GB2312" w:eastAsia="仿宋_GB2312"/>
          <w:sz w:val="32"/>
          <w:szCs w:val="32"/>
        </w:rPr>
        <w:t>，相关费用增长</w:t>
      </w:r>
      <w:r>
        <w:rPr>
          <w:rFonts w:hint="eastAsia" w:eastAsia="仿宋_GB2312" w:cs="Times New Roman"/>
          <w:color w:val="auto"/>
          <w:kern w:val="2"/>
          <w:sz w:val="32"/>
          <w:szCs w:val="32"/>
          <w:highlight w:val="none"/>
          <w:lang w:val="zh-CN" w:eastAsia="zh-CN" w:bidi="ar-SA"/>
        </w:rPr>
        <w:t>。</w:t>
      </w:r>
    </w:p>
    <w:p w14:paraId="7E37CE30">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4.自然资源海洋气象等支出（类）自然资源事务（款）行政运行（项）:支出决算数为134.84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11.22%，主要原因是：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年度对办公用品等耗材本着节约集约利用的原则，在不影响工作正常开展的前提下，缩减办公用品开支。</w:t>
      </w:r>
    </w:p>
    <w:p w14:paraId="7075FBD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5.住房保障支出（类）住房改革支出（款）住房公积金（项）:支出决算数为12.18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1.28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11.77%，主要原因是：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sz w:val="32"/>
          <w:szCs w:val="32"/>
        </w:rPr>
        <w:t>增长</w:t>
      </w:r>
      <w:r>
        <w:rPr>
          <w:rFonts w:hint="eastAsia" w:eastAsia="仿宋_GB2312" w:cs="Times New Roman"/>
          <w:color w:val="auto"/>
          <w:kern w:val="2"/>
          <w:sz w:val="32"/>
          <w:szCs w:val="32"/>
          <w:highlight w:val="none"/>
          <w:lang w:val="zh-CN" w:eastAsia="zh-CN" w:bidi="ar-SA"/>
        </w:rPr>
        <w:t>。</w:t>
      </w:r>
    </w:p>
    <w:p w14:paraId="21F7B99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6.社会保障和就业支出（类）行政事业单位养老支出（款）行政单位离退休（项）:支出决算数为9.10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5.47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37.54%，主要原因是：</w:t>
      </w:r>
      <w:r>
        <w:rPr>
          <w:rFonts w:hint="eastAsia" w:eastAsia="仿宋_GB2312" w:cs="Times New Roman"/>
          <w:color w:val="auto"/>
          <w:kern w:val="2"/>
          <w:sz w:val="32"/>
          <w:szCs w:val="32"/>
          <w:highlight w:val="none"/>
          <w:lang w:val="en-US" w:eastAsia="zh-CN" w:bidi="ar-SA"/>
        </w:rPr>
        <w:t>2023年将退休人员医疗补助金退回国库</w:t>
      </w:r>
      <w:r>
        <w:rPr>
          <w:rFonts w:hint="eastAsia" w:eastAsia="仿宋_GB2312" w:cs="Times New Roman"/>
          <w:color w:val="auto"/>
          <w:kern w:val="2"/>
          <w:sz w:val="32"/>
          <w:szCs w:val="32"/>
          <w:highlight w:val="none"/>
          <w:lang w:val="zh-CN" w:eastAsia="zh-CN" w:bidi="ar-SA"/>
        </w:rPr>
        <w:t>。</w:t>
      </w:r>
    </w:p>
    <w:p w14:paraId="55B4EE6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7.社会保障和就业支出（类）行政事业单位养老支出（款）机关事业单位基本养老保险缴费支出（项）:支出决算数为16.24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1.71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11.77%，主要原因是：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年度人员工资提高标准及补发绩效工资，</w:t>
      </w:r>
      <w:r>
        <w:rPr>
          <w:rFonts w:hint="eastAsia" w:ascii="Times New Roman" w:hAnsi="Times New Roman" w:eastAsia="仿宋_GB2312" w:cs="Times New Roman"/>
          <w:color w:val="auto"/>
          <w:kern w:val="2"/>
          <w:sz w:val="32"/>
          <w:szCs w:val="32"/>
          <w:highlight w:val="none"/>
          <w:lang w:val="en-US" w:eastAsia="zh-CN" w:bidi="ar-SA"/>
        </w:rPr>
        <w:t>基本养老保险缴费</w:t>
      </w:r>
      <w:r>
        <w:rPr>
          <w:rFonts w:hint="eastAsia" w:eastAsia="仿宋_GB2312" w:cs="Times New Roman"/>
          <w:color w:val="auto"/>
          <w:kern w:val="2"/>
          <w:sz w:val="32"/>
          <w:szCs w:val="32"/>
          <w:highlight w:val="none"/>
          <w:lang w:val="en-US" w:eastAsia="zh-CN" w:bidi="ar-SA"/>
        </w:rPr>
        <w:t>支出</w:t>
      </w:r>
      <w:r>
        <w:rPr>
          <w:rFonts w:hint="eastAsia" w:ascii="仿宋_GB2312" w:eastAsia="仿宋_GB2312"/>
          <w:sz w:val="32"/>
          <w:szCs w:val="32"/>
        </w:rPr>
        <w:t>增长</w:t>
      </w:r>
      <w:r>
        <w:rPr>
          <w:rFonts w:hint="eastAsia" w:eastAsia="仿宋_GB2312" w:cs="Times New Roman"/>
          <w:color w:val="auto"/>
          <w:kern w:val="2"/>
          <w:sz w:val="32"/>
          <w:szCs w:val="32"/>
          <w:highlight w:val="none"/>
          <w:lang w:val="zh-CN" w:eastAsia="zh-CN" w:bidi="ar-SA"/>
        </w:rPr>
        <w:t>。</w:t>
      </w:r>
    </w:p>
    <w:p w14:paraId="40973AE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68E1A8B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187.65</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170.85</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基本工资、津贴补贴、奖金、机关事业单位基本养老保险缴费、职工基本医疗保险缴费、公务员医疗补助缴费、住房公积金、其他工资福利支出、退休费。</w:t>
      </w:r>
    </w:p>
    <w:p w14:paraId="1A1D938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16.80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办公费、手续费、邮电费、取暖费、差旅费、工会经费、福利费、其他交通费用。</w:t>
      </w:r>
    </w:p>
    <w:p w14:paraId="3DAD8E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7E593CC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5E37EDB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5A06222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1B39055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固定资产车辆为</w:t>
      </w:r>
      <w:r>
        <w:rPr>
          <w:rFonts w:hint="eastAsia" w:ascii="Times New Roman" w:hAnsi="Times New Roman" w:eastAsia="仿宋_GB2312" w:cs="Times New Roman"/>
          <w:color w:val="auto"/>
          <w:sz w:val="32"/>
          <w:szCs w:val="32"/>
          <w:highlight w:val="none"/>
          <w:lang w:val="zh-CN" w:eastAsia="zh-CN"/>
        </w:rPr>
        <w:t>执法执勤用车</w:t>
      </w:r>
      <w:r>
        <w:rPr>
          <w:rFonts w:hint="eastAsia" w:eastAsia="仿宋_GB2312" w:cs="Times New Roman"/>
          <w:color w:val="auto"/>
          <w:sz w:val="32"/>
          <w:szCs w:val="32"/>
          <w:highlight w:val="none"/>
          <w:lang w:val="zh-CN" w:eastAsia="zh-CN"/>
        </w:rPr>
        <w:t>、其他用车</w:t>
      </w:r>
      <w:r>
        <w:rPr>
          <w:rFonts w:hint="eastAsia" w:ascii="仿宋_GB2312" w:eastAsia="仿宋_GB2312"/>
          <w:sz w:val="32"/>
          <w:szCs w:val="32"/>
          <w:lang w:val="en-US" w:eastAsia="zh-CN"/>
        </w:rPr>
        <w:t>，</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28BD3460">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70A61C2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7C1C11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4CA53B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5E7A72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EE95A1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4879839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7F4D8C2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21C98C96">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塔城地区国土资源执法监察支队（行政单位和参照公务员法管理事业单位）机关运行经费支出16.80万元，比上年减少3.99万元，下降19.20%，主要原因是：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年度本着节约集约利用的原则，在不影响工作正常开展的前提下，缩减开支</w:t>
      </w:r>
      <w:r>
        <w:rPr>
          <w:rFonts w:hint="eastAsia" w:ascii="Times New Roman" w:hAnsi="Times New Roman" w:eastAsia="仿宋_GB2312" w:cs="Times New Roman"/>
          <w:color w:val="auto"/>
          <w:sz w:val="32"/>
          <w:szCs w:val="32"/>
          <w:highlight w:val="none"/>
          <w:lang w:val="en-US" w:eastAsia="zh-CN"/>
        </w:rPr>
        <w:t>。</w:t>
      </w:r>
    </w:p>
    <w:p w14:paraId="0001E2C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65BD5B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76051AC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EC224A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17DE8A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609.45</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屋1040.6平方米，价值369.27万元。车辆5辆，价值119.03万元，其中：副部（省）级及以上领导用车0辆、主要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用车0辆、机要通信用车0辆、应急保障用车0辆、执法执勤用车1辆、特种专业技术用车0辆、离退休干部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用车0辆、其他用车4辆，其他用车主要是：</w:t>
      </w:r>
      <w:r>
        <w:rPr>
          <w:rFonts w:hint="eastAsia" w:ascii="仿宋_GB2312" w:eastAsia="仿宋_GB2312"/>
          <w:color w:val="auto"/>
          <w:sz w:val="32"/>
          <w:szCs w:val="32"/>
          <w:highlight w:val="none"/>
          <w:lang w:val="en-US" w:eastAsia="zh-CN"/>
        </w:rPr>
        <w:t>2023年正常办公出行车辆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DC1FBB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4744704D">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2CE3D6B4">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07D1018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p>
    <w:p w14:paraId="572331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61D316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7D2DAFE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6A5B28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2DCDDAE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524C3A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18C905D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0E8CD6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CE55EE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28C3C80">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688EAD9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2683495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564E2F5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66153C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3865AEA5">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4CE4685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36DFC9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7E716BC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56118FC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1D4AAFE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43D5ADF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3DC1F3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2ECF828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357F8B5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455C0DD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162108FC">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CBF1D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19AB2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14272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714272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5C1CCE"/>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4D4FA2"/>
    <w:rsid w:val="19D26CD4"/>
    <w:rsid w:val="19E60D19"/>
    <w:rsid w:val="1A3E3450"/>
    <w:rsid w:val="1AD807E5"/>
    <w:rsid w:val="1B39345B"/>
    <w:rsid w:val="1BFB2A1F"/>
    <w:rsid w:val="1C015D4A"/>
    <w:rsid w:val="1C194CCC"/>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896221"/>
    <w:rsid w:val="27CF2642"/>
    <w:rsid w:val="27E777F5"/>
    <w:rsid w:val="27EA1D4C"/>
    <w:rsid w:val="27EA2E41"/>
    <w:rsid w:val="282459E2"/>
    <w:rsid w:val="283A7FE5"/>
    <w:rsid w:val="285F51FF"/>
    <w:rsid w:val="28DF2665"/>
    <w:rsid w:val="29072599"/>
    <w:rsid w:val="291029F3"/>
    <w:rsid w:val="29CB58F0"/>
    <w:rsid w:val="2A053397"/>
    <w:rsid w:val="2A145E96"/>
    <w:rsid w:val="2AA61BF8"/>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6402F"/>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3E7CE2"/>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7E44DE"/>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5227</Words>
  <Characters>5852</Characters>
  <Lines>0</Lines>
  <Paragraphs>0</Paragraphs>
  <TotalTime>0</TotalTime>
  <ScaleCrop>false</ScaleCrop>
  <LinksUpToDate>false</LinksUpToDate>
  <CharactersWithSpaces>5876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2024-09-02T03:52:38Z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