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425B4">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lang w:val="en-US" w:eastAsia="zh-CN"/>
        </w:rPr>
      </w:pPr>
    </w:p>
    <w:p w14:paraId="4E513BA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18AF7D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裕民县国土资源执法监察大队</w:t>
      </w:r>
    </w:p>
    <w:p w14:paraId="7C5657D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4E74B8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484FB10">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12B475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598D7D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83A01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99AF2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A0D0CD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48C67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2822C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A8BD2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F1DF4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8AAE4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37726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4F8130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EE90B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7E34A2B">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14300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002953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A6847B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EAFDBF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3D591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2B9DA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44E0FE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95472B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135E5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A76930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ECBEB2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A69E4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4E436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3CAD9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5EE5E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9E326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750E39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9F030F5">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ADF093D">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B51ED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11661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0C5937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裕民县国土资源执法监察大队，为自治区自然资源厅下属副科级单位，参照公务员法管理的事业单位。实行垂直管理，履行国土资源执法监察职能。</w:t>
      </w:r>
    </w:p>
    <w:p w14:paraId="284B4A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宣传和贯彻执行国家、自治区有关土地、矿产资源的法律、法规、规章和政策。</w:t>
      </w:r>
    </w:p>
    <w:p w14:paraId="676BA8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按照自治区国土资源执法监察工作程序和要求，组织实施对县执行土地、矿产资源法律法规、规章情况进行监督监察和动态巡查，及时发现和制止土地、矿产资源违法行为。</w:t>
      </w:r>
    </w:p>
    <w:p w14:paraId="19D577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依法组织和实施对土地、矿产资源违法案件进行调查、取证和现场勘验，并提交土地、矿产资源违法案件调查报告和查处意见。发现重大土地、矿产资源违法案件线索，及时上报。</w:t>
      </w:r>
    </w:p>
    <w:p w14:paraId="2F4AE2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黑体" w:hAnsi="黑体" w:eastAsia="黑体" w:cs="宋体"/>
          <w:bCs/>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负责对本县土地、矿产资源违法案件查处决定的督办。</w:t>
      </w:r>
    </w:p>
    <w:p w14:paraId="5537C1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9B04E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01D1B0F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eastAsia="zh-CN"/>
        </w:rPr>
        <w:t>本单位无下属预算单位。</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：综合办公室。</w:t>
      </w:r>
    </w:p>
    <w:p w14:paraId="3B716E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BA5A1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1FE670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123.45万元，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111.09万元，使用非财政拨款结余0.00万元，年初结转和结余12.36万元。</w:t>
      </w:r>
    </w:p>
    <w:p w14:paraId="19D390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123.45万元，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119.17万元，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0.00万元，年末结转和结余4.27万元。</w:t>
      </w:r>
    </w:p>
    <w:p w14:paraId="555989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增长10.38%</w:t>
      </w:r>
      <w:r>
        <w:rPr>
          <w:rFonts w:hint="eastAsia" w:ascii="仿宋_GB2312" w:eastAsia="仿宋_GB2312"/>
          <w:color w:val="auto"/>
          <w:spacing w:val="0"/>
          <w:sz w:val="32"/>
          <w:szCs w:val="32"/>
          <w:highlight w:val="none"/>
          <w:lang w:eastAsia="zh-CN"/>
        </w:rPr>
        <w:t>，主要原因是：人员工资普调和基础绩效奖的调整。</w:t>
      </w:r>
    </w:p>
    <w:p w14:paraId="71EA2C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B3946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111.09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111.05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6D3C8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3EB9D2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本年支出119.17万元，其中：基本支出89.09万元，占74.75%；项目支出30.09万元，占25.25%；上缴上级支出0.00万元，占0.00%；经营支出0.00万元，占0.00%；对附属单位补助支出0.00万元，占0.00%。</w:t>
      </w:r>
    </w:p>
    <w:p w14:paraId="407A49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1AD65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123.41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12.36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111.05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123.41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119.14</w:t>
      </w:r>
      <w:r>
        <w:rPr>
          <w:rFonts w:hint="eastAsia" w:ascii="仿宋_GB2312" w:eastAsia="仿宋_GB2312"/>
          <w:color w:val="auto"/>
          <w:spacing w:val="0"/>
          <w:sz w:val="32"/>
          <w:szCs w:val="32"/>
          <w:highlight w:val="none"/>
          <w:lang w:eastAsia="zh-CN"/>
        </w:rPr>
        <w:t>万元。</w:t>
      </w:r>
    </w:p>
    <w:p w14:paraId="62CB97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增加11.60万元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增长10.37%，</w:t>
      </w:r>
      <w:r>
        <w:rPr>
          <w:rFonts w:hint="eastAsia" w:ascii="仿宋_GB2312" w:eastAsia="仿宋_GB2312"/>
          <w:color w:val="auto"/>
          <w:spacing w:val="0"/>
          <w:sz w:val="32"/>
          <w:szCs w:val="32"/>
          <w:highlight w:val="none"/>
          <w:lang w:eastAsia="zh-CN"/>
        </w:rPr>
        <w:t>主要原因是：人员的调资及社保基数的调整。与年初预算相比，年初预算数</w:t>
      </w:r>
      <w:r>
        <w:rPr>
          <w:rFonts w:hint="eastAsia" w:ascii="仿宋_GB2312" w:eastAsia="仿宋_GB2312"/>
          <w:color w:val="auto"/>
          <w:spacing w:val="0"/>
          <w:sz w:val="32"/>
          <w:szCs w:val="32"/>
          <w:highlight w:val="none"/>
          <w:lang w:val="zh-CN" w:eastAsia="zh-CN"/>
        </w:rPr>
        <w:t>102.94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123.41</w:t>
      </w:r>
      <w:r>
        <w:rPr>
          <w:rFonts w:hint="eastAsia" w:ascii="仿宋_GB2312" w:eastAsia="仿宋_GB2312"/>
          <w:color w:val="auto"/>
          <w:spacing w:val="0"/>
          <w:sz w:val="32"/>
          <w:szCs w:val="32"/>
          <w:highlight w:val="none"/>
          <w:lang w:eastAsia="zh-CN"/>
        </w:rPr>
        <w:t>万元，预决算差异率19.89%，主要原因是：绩效奖的上调，人员工资的增长，社保基数的上调，产生预决算差异。</w:t>
      </w:r>
    </w:p>
    <w:p w14:paraId="68ABA9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D8299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26672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2023年度一般公共预算财政拨款支出119.14万元，占本年支出合计的</w:t>
      </w:r>
      <w:r>
        <w:rPr>
          <w:rFonts w:hint="eastAsia" w:ascii="仿宋_GB2312" w:eastAsia="仿宋_GB2312"/>
          <w:color w:val="auto"/>
          <w:spacing w:val="0"/>
          <w:sz w:val="32"/>
          <w:szCs w:val="32"/>
          <w:highlight w:val="none"/>
          <w:lang w:val="zh-CN" w:eastAsia="zh-CN"/>
        </w:rPr>
        <w:t>99.97%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增加19.69万元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增长19.79%，</w:t>
      </w:r>
      <w:r>
        <w:rPr>
          <w:rFonts w:hint="eastAsia" w:ascii="仿宋_GB2312" w:eastAsia="仿宋_GB2312"/>
          <w:color w:val="auto"/>
          <w:spacing w:val="0"/>
          <w:sz w:val="32"/>
          <w:szCs w:val="32"/>
          <w:highlight w:val="none"/>
          <w:lang w:eastAsia="zh-CN"/>
        </w:rPr>
        <w:t>主要原因是：人员工资的增资。与年初预算相比，年初预算数</w:t>
      </w:r>
      <w:r>
        <w:rPr>
          <w:rFonts w:hint="eastAsia" w:ascii="仿宋_GB2312" w:eastAsia="仿宋_GB2312"/>
          <w:color w:val="auto"/>
          <w:spacing w:val="0"/>
          <w:sz w:val="32"/>
          <w:szCs w:val="32"/>
          <w:highlight w:val="none"/>
          <w:lang w:val="zh-CN" w:eastAsia="zh-CN"/>
        </w:rPr>
        <w:t>102.94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119.14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15.74%</w:t>
      </w:r>
      <w:r>
        <w:rPr>
          <w:rFonts w:hint="eastAsia" w:ascii="仿宋_GB2312" w:eastAsia="仿宋_GB2312"/>
          <w:color w:val="auto"/>
          <w:spacing w:val="0"/>
          <w:sz w:val="32"/>
          <w:szCs w:val="32"/>
          <w:highlight w:val="none"/>
          <w:lang w:eastAsia="zh-CN"/>
        </w:rPr>
        <w:t>，主要原因是：人员工资、基础绩效工资的调资，产生预决算差异。</w:t>
      </w:r>
    </w:p>
    <w:p w14:paraId="673532C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7D2DC3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8.18</w:t>
      </w:r>
      <w:r>
        <w:rPr>
          <w:rFonts w:hint="default" w:ascii="仿宋_GB2312" w:hAnsi="Times New Roman" w:eastAsia="仿宋_GB2312" w:cs="Times New Roman"/>
          <w:color w:val="auto"/>
          <w:spacing w:val="0"/>
          <w:kern w:val="2"/>
          <w:sz w:val="32"/>
          <w:szCs w:val="32"/>
          <w:highlight w:val="none"/>
          <w:lang w:val="zh-CN" w:eastAsia="zh-CN" w:bidi="ar-SA"/>
        </w:rPr>
        <w:t>%；</w:t>
      </w:r>
    </w:p>
    <w:p w14:paraId="2BDE857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6.13</w:t>
      </w:r>
      <w:r>
        <w:rPr>
          <w:rFonts w:hint="default" w:ascii="仿宋_GB2312" w:hAnsi="Times New Roman" w:eastAsia="仿宋_GB2312" w:cs="Times New Roman"/>
          <w:color w:val="auto"/>
          <w:spacing w:val="0"/>
          <w:kern w:val="2"/>
          <w:sz w:val="32"/>
          <w:szCs w:val="32"/>
          <w:highlight w:val="none"/>
          <w:lang w:val="zh-CN" w:eastAsia="zh-CN" w:bidi="ar-SA"/>
        </w:rPr>
        <w:t>%；</w:t>
      </w:r>
    </w:p>
    <w:p w14:paraId="51287F7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96.28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80.82</w:t>
      </w:r>
      <w:r>
        <w:rPr>
          <w:rFonts w:hint="default" w:ascii="仿宋_GB2312" w:hAnsi="Times New Roman" w:eastAsia="仿宋_GB2312" w:cs="Times New Roman"/>
          <w:color w:val="auto"/>
          <w:spacing w:val="0"/>
          <w:kern w:val="2"/>
          <w:sz w:val="32"/>
          <w:szCs w:val="32"/>
          <w:highlight w:val="none"/>
          <w:lang w:val="zh-CN" w:eastAsia="zh-CN" w:bidi="ar-SA"/>
        </w:rPr>
        <w:t>%；</w:t>
      </w:r>
    </w:p>
    <w:p w14:paraId="11F334C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4.88</w:t>
      </w:r>
      <w:r>
        <w:rPr>
          <w:rFonts w:hint="default" w:ascii="仿宋_GB2312" w:hAnsi="Times New Roman" w:eastAsia="仿宋_GB2312" w:cs="Times New Roman"/>
          <w:color w:val="auto"/>
          <w:spacing w:val="0"/>
          <w:kern w:val="2"/>
          <w:sz w:val="32"/>
          <w:szCs w:val="32"/>
          <w:highlight w:val="none"/>
          <w:lang w:val="zh-CN" w:eastAsia="zh-CN" w:bidi="ar-SA"/>
        </w:rPr>
        <w:t>%；</w:t>
      </w:r>
    </w:p>
    <w:p w14:paraId="782169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21742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16.13%，主要原因是：</w:t>
      </w:r>
      <w:r>
        <w:rPr>
          <w:rFonts w:hint="eastAsia" w:eastAsia="仿宋_GB2312" w:cs="Times New Roman"/>
          <w:color w:val="auto"/>
          <w:kern w:val="2"/>
          <w:sz w:val="32"/>
          <w:szCs w:val="32"/>
          <w:highlight w:val="none"/>
          <w:lang w:val="zh-CN" w:eastAsia="zh-CN" w:bidi="ar-SA"/>
        </w:rPr>
        <w:t>因人员工资的增资，医保基数进行调整，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zh-CN" w:eastAsia="zh-CN" w:bidi="ar-SA"/>
        </w:rPr>
        <w:t>支出增加。</w:t>
      </w:r>
    </w:p>
    <w:p w14:paraId="41275C1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29.62%，主要原因是</w:t>
      </w:r>
      <w:r>
        <w:rPr>
          <w:rFonts w:hint="eastAsia"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zh-CN" w:eastAsia="zh-CN" w:bidi="ar-SA"/>
        </w:rPr>
        <w:t>人员工资的增资，医保基数进行调整，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zh-CN" w:eastAsia="zh-CN" w:bidi="ar-SA"/>
        </w:rPr>
        <w:t>支出增加。</w:t>
      </w:r>
    </w:p>
    <w:p w14:paraId="40CEBA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3.自然资源海洋气象等支出（类）自然资源事务（款）其他自然资源事务支出（项）:支出决算数为30.09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60.44%，主要原因是：</w:t>
      </w:r>
      <w:r>
        <w:rPr>
          <w:rFonts w:hint="eastAsia" w:ascii="Times New Roman" w:hAnsi="Times New Roman" w:eastAsia="仿宋_GB2312" w:cs="Times New Roman"/>
          <w:color w:val="auto"/>
          <w:kern w:val="2"/>
          <w:sz w:val="32"/>
          <w:szCs w:val="32"/>
          <w:highlight w:val="none"/>
          <w:lang w:val="zh-CN" w:eastAsia="zh-CN" w:bidi="ar-SA"/>
        </w:rPr>
        <w:t>案件查办数量增多，外业核查次数增多，办案经费增加</w:t>
      </w:r>
      <w:r>
        <w:rPr>
          <w:rFonts w:hint="eastAsia" w:eastAsia="仿宋_GB2312" w:cs="Times New Roman"/>
          <w:color w:val="auto"/>
          <w:kern w:val="2"/>
          <w:sz w:val="32"/>
          <w:szCs w:val="32"/>
          <w:highlight w:val="none"/>
          <w:lang w:val="zh-CN" w:eastAsia="zh-CN" w:bidi="ar-SA"/>
        </w:rPr>
        <w:t>。</w:t>
      </w:r>
    </w:p>
    <w:p w14:paraId="6F5787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4.自然资源海洋气象等支出（类）自然资源事务（款）行政运行（项）:支出决算数为66.20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8.81%，主要原因是：</w:t>
      </w:r>
      <w:r>
        <w:rPr>
          <w:rFonts w:hint="eastAsia" w:eastAsia="仿宋_GB2312" w:cs="Times New Roman"/>
          <w:color w:val="auto"/>
          <w:kern w:val="2"/>
          <w:sz w:val="32"/>
          <w:szCs w:val="32"/>
          <w:highlight w:val="none"/>
          <w:lang w:val="en-US" w:eastAsia="zh-CN" w:bidi="ar-SA"/>
        </w:rPr>
        <w:t>工资调增，</w:t>
      </w:r>
      <w:r>
        <w:rPr>
          <w:rFonts w:hint="eastAsia" w:ascii="仿宋_GB2312" w:eastAsia="仿宋_GB2312"/>
          <w:color w:val="auto"/>
          <w:spacing w:val="0"/>
          <w:sz w:val="32"/>
          <w:szCs w:val="32"/>
          <w:highlight w:val="none"/>
          <w:lang w:eastAsia="zh-CN"/>
        </w:rPr>
        <w:t>基础绩效奖增加</w:t>
      </w:r>
      <w:r>
        <w:rPr>
          <w:rFonts w:hint="eastAsia" w:eastAsia="仿宋_GB2312" w:cs="Times New Roman"/>
          <w:color w:val="auto"/>
          <w:kern w:val="2"/>
          <w:sz w:val="32"/>
          <w:szCs w:val="32"/>
          <w:highlight w:val="none"/>
          <w:lang w:val="en-US" w:eastAsia="zh-CN" w:bidi="ar-SA"/>
        </w:rPr>
        <w:t>。</w:t>
      </w:r>
    </w:p>
    <w:p w14:paraId="7B2E417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24.99%，主要原因是：</w:t>
      </w:r>
      <w:r>
        <w:rPr>
          <w:rFonts w:hint="eastAsia" w:eastAsia="仿宋_GB2312" w:cs="Times New Roman"/>
          <w:color w:val="auto"/>
          <w:kern w:val="2"/>
          <w:sz w:val="32"/>
          <w:szCs w:val="32"/>
          <w:highlight w:val="none"/>
          <w:lang w:val="en-US" w:eastAsia="zh-CN" w:bidi="ar-SA"/>
        </w:rPr>
        <w:t>人员工资的调增，公积金基数随人员工资调整增加</w:t>
      </w:r>
      <w:r>
        <w:rPr>
          <w:rFonts w:hint="eastAsia" w:eastAsia="仿宋_GB2312" w:cs="Times New Roman"/>
          <w:color w:val="auto"/>
          <w:kern w:val="2"/>
          <w:sz w:val="32"/>
          <w:szCs w:val="32"/>
          <w:highlight w:val="none"/>
          <w:lang w:val="zh-CN" w:eastAsia="zh-CN" w:bidi="ar-SA"/>
        </w:rPr>
        <w:t>。</w:t>
      </w:r>
    </w:p>
    <w:p w14:paraId="763691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34.37%，主要原因是：</w:t>
      </w:r>
      <w:r>
        <w:rPr>
          <w:rFonts w:hint="eastAsia" w:eastAsia="仿宋_GB2312" w:cs="Times New Roman"/>
          <w:color w:val="auto"/>
          <w:kern w:val="2"/>
          <w:sz w:val="32"/>
          <w:szCs w:val="32"/>
          <w:highlight w:val="none"/>
          <w:lang w:val="en-US" w:eastAsia="zh-CN" w:bidi="ar-SA"/>
        </w:rPr>
        <w:t>退休人员社保政策的调整，支出减少</w:t>
      </w:r>
      <w:r>
        <w:rPr>
          <w:rFonts w:hint="eastAsia" w:eastAsia="仿宋_GB2312" w:cs="Times New Roman"/>
          <w:color w:val="auto"/>
          <w:kern w:val="2"/>
          <w:sz w:val="32"/>
          <w:szCs w:val="32"/>
          <w:highlight w:val="none"/>
          <w:lang w:val="zh-CN" w:eastAsia="zh-CN" w:bidi="ar-SA"/>
        </w:rPr>
        <w:t>。</w:t>
      </w:r>
    </w:p>
    <w:p w14:paraId="1FEE00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24.99%，主要原因是：</w:t>
      </w:r>
      <w:r>
        <w:rPr>
          <w:rFonts w:hint="eastAsia" w:eastAsia="仿宋_GB2312" w:cs="Times New Roman"/>
          <w:color w:val="auto"/>
          <w:kern w:val="2"/>
          <w:sz w:val="32"/>
          <w:szCs w:val="32"/>
          <w:highlight w:val="none"/>
          <w:lang w:val="zh-CN" w:eastAsia="zh-CN" w:bidi="ar-SA"/>
        </w:rPr>
        <w:t>人员工资的增资，社保基数的调增，支出增加。</w:t>
      </w:r>
    </w:p>
    <w:p w14:paraId="416C80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1BED45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89.05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82.57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基本工资、津贴补贴、奖金、机关事业单位基本养老保险缴费、职工基本医疗保险缴费、公务员医疗补助缴费、住房公积金、其他工资福利支出、退休费。</w:t>
      </w:r>
    </w:p>
    <w:p w14:paraId="13AB49E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办公费、差旅费、工会经费、福利费、其他交通费用。</w:t>
      </w:r>
    </w:p>
    <w:p w14:paraId="4B0326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BD930D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财政拨款“三公”经费支出。其中：因公出国（境）费支出0.00万元，占0.00%，比上年增加0.00万元，增长0.00%，主要原因是：我单位无因公出国（境）行为发生；公务用车购置及运行维护费支出0.00万元，占0.00%，比上年增加0.00万元，增长0.00%，主要原因是：我单位未购置公务用车，没有产生公务用车运行维护费；公务接待费支出0.00万元，占0.00%，比上年增加0.00万元，增长0.00%，主要原因是：我单位无公务接待行为发生。</w:t>
      </w:r>
    </w:p>
    <w:p w14:paraId="06EB94A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9BF8A3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因公出国（境）费支出0.00万元，开支内容包括：我单位无因公出国（境）行为发生。单位全年安排的因公出国（境）团组0个，因公出国（境）0人次。</w:t>
      </w:r>
    </w:p>
    <w:p w14:paraId="35B7AA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未购置公务用车，没有产生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原因是：两辆为执法业务用车</w:t>
      </w:r>
      <w:r>
        <w:rPr>
          <w:rFonts w:hint="eastAsia" w:ascii="仿宋_GB2312" w:eastAsia="仿宋_GB2312"/>
          <w:sz w:val="32"/>
          <w:szCs w:val="32"/>
          <w:lang w:val="en-US" w:eastAsia="zh-CN"/>
        </w:rPr>
        <w:t>，</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3989017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公务接待费0.00万元，开支内容包括我单位无公务接待行为发生。单位全年安排的国内公务接待0批次，0人次。</w:t>
      </w:r>
    </w:p>
    <w:p w14:paraId="27F1CBA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预算数0.00万元，决算数0.00万元，预决算差异率0.00%，主要原因是：无“三公”经费预算及支出。其中：因公出国（境）费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0.00万元，决算数0.00万元，预决算差异率0.00%，主要原因是：无因公出国（境）行为；公务用车购置费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预算数0.00万元，决算数0.00万元，预决算差异率0.00%，主要原因是：未购置公务用车；公务用车运行费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预算数0.00万元，决算数0.00万元，预决算差异率0.00%，主要原因是：无公务用车，未产生公务用车运行费；公务接待费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预算数0.00万元，决算数0.00万元，预决算差异率0.00%，主要原因是：未发生公务接待。</w:t>
      </w:r>
    </w:p>
    <w:p w14:paraId="127C9F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3146F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78BC8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九、国有资本经营预算财政拨款收入支出决算情况说明</w:t>
      </w:r>
    </w:p>
    <w:p w14:paraId="566CEA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8BA4E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50003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482F38C">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裕民县国土资源执法监察大队（行政单位和参照公务员法管理事业单位）机关运行经费支出6.49万元，比上年减少0.02万元，下降0.28%，主要原因是：</w:t>
      </w:r>
      <w:r>
        <w:rPr>
          <w:rFonts w:hint="eastAsia" w:eastAsia="仿宋_GB2312" w:cs="Times New Roman"/>
          <w:color w:val="auto"/>
          <w:sz w:val="32"/>
          <w:szCs w:val="32"/>
          <w:highlight w:val="none"/>
          <w:lang w:val="en-US" w:eastAsia="zh-CN"/>
        </w:rPr>
        <w:t>厉行节约，办公经费减少</w:t>
      </w:r>
      <w:r>
        <w:rPr>
          <w:rFonts w:hint="eastAsia" w:ascii="Times New Roman" w:hAnsi="Times New Roman" w:eastAsia="仿宋_GB2312" w:cs="Times New Roman"/>
          <w:color w:val="auto"/>
          <w:sz w:val="32"/>
          <w:szCs w:val="32"/>
          <w:highlight w:val="none"/>
          <w:lang w:val="en-US" w:eastAsia="zh-CN"/>
        </w:rPr>
        <w:t>。</w:t>
      </w:r>
    </w:p>
    <w:p w14:paraId="050614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F6F8B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647850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BD3D7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BF19C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56.47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屋0.0平方米，价值0.00万元。车辆2辆，价值35.24万元，其中：副部（省）级及以上领导用车0辆、主要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用于辅助日常办公执法。</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43F389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2778CBB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7EA2CFD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FBDE6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6950AF7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809186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77B13C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57830F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528B4A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00021F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57EF25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D51418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2B30BEB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101A0A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F05083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2F522B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49E25F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83DA0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D5F288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8B738C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8EF306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BE7260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C9AE7C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20CDD1B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33891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E34C6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ABE627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0720E5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3B5525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32BA2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14C014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172AAC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CE640D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FB861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4B7E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154182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ABFAE9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9327E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7578E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BBD636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EF42A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C0488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006BEF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B538D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1AA4EC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FF8F7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D6FBF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E75A8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535207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6296F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A9A654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9A3EE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0B0A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CE262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BCE262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9D79D6"/>
    <w:rsid w:val="02BD3108"/>
    <w:rsid w:val="02F73D26"/>
    <w:rsid w:val="034D4FEF"/>
    <w:rsid w:val="035D1785"/>
    <w:rsid w:val="039F47CE"/>
    <w:rsid w:val="03E05CE8"/>
    <w:rsid w:val="03F973EE"/>
    <w:rsid w:val="043E5B56"/>
    <w:rsid w:val="0453522B"/>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962067"/>
    <w:rsid w:val="105B0B5E"/>
    <w:rsid w:val="112E58D0"/>
    <w:rsid w:val="11731CAC"/>
    <w:rsid w:val="119500A0"/>
    <w:rsid w:val="11C0733B"/>
    <w:rsid w:val="11D50D17"/>
    <w:rsid w:val="120E0809"/>
    <w:rsid w:val="127F665A"/>
    <w:rsid w:val="12C53E7D"/>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B83287"/>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9B0EBC"/>
    <w:rsid w:val="3AD1763A"/>
    <w:rsid w:val="3B6716E3"/>
    <w:rsid w:val="3B6C6B2D"/>
    <w:rsid w:val="3C242659"/>
    <w:rsid w:val="3C96719C"/>
    <w:rsid w:val="3CA72BE8"/>
    <w:rsid w:val="3CF37F8C"/>
    <w:rsid w:val="3D137554"/>
    <w:rsid w:val="3D331798"/>
    <w:rsid w:val="3D5275AC"/>
    <w:rsid w:val="3DCC2473"/>
    <w:rsid w:val="3DEB0883"/>
    <w:rsid w:val="3E2527BF"/>
    <w:rsid w:val="3E731662"/>
    <w:rsid w:val="3E8168DD"/>
    <w:rsid w:val="3EA7725F"/>
    <w:rsid w:val="3EB03713"/>
    <w:rsid w:val="3EBF1A11"/>
    <w:rsid w:val="3EC52607"/>
    <w:rsid w:val="3EEC6CEF"/>
    <w:rsid w:val="3F183429"/>
    <w:rsid w:val="3F2A52A1"/>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1B2F77"/>
    <w:rsid w:val="463C6547"/>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1B01E2"/>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D42C55"/>
    <w:rsid w:val="63E9091F"/>
    <w:rsid w:val="64322AF9"/>
    <w:rsid w:val="64BC0813"/>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6046E0"/>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1A0F47"/>
    <w:rsid w:val="727B234E"/>
    <w:rsid w:val="72D068C7"/>
    <w:rsid w:val="72E42ED8"/>
    <w:rsid w:val="735F4CB9"/>
    <w:rsid w:val="73674C62"/>
    <w:rsid w:val="73845865"/>
    <w:rsid w:val="739B6D9E"/>
    <w:rsid w:val="739E5350"/>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5028</Words>
  <Characters>5595</Characters>
  <Lines>0</Lines>
  <Paragraphs>0</Paragraphs>
  <TotalTime>0</TotalTime>
  <ScaleCrop>false</ScaleCrop>
  <LinksUpToDate>false</LinksUpToDate>
  <CharactersWithSpaces>5606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2024-09-02T03:53:47Z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