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FC3400">
      <w:pPr>
        <w:keepNext w:val="0"/>
        <w:keepLines w:val="0"/>
        <w:pageBreakBefore w:val="0"/>
        <w:widowControl w:val="0"/>
        <w:kinsoku/>
        <w:wordWrap/>
        <w:overflowPunct/>
        <w:topLinePunct w:val="0"/>
        <w:bidi w:val="0"/>
        <w:adjustRightInd/>
        <w:snapToGrid/>
        <w:spacing w:line="240" w:lineRule="auto"/>
        <w:jc w:val="both"/>
        <w:textAlignment w:val="auto"/>
        <w:rPr>
          <w:rFonts w:ascii="黑体" w:hAnsi="黑体" w:eastAsia="黑体"/>
          <w:color w:val="auto"/>
          <w:sz w:val="32"/>
          <w:szCs w:val="32"/>
          <w:highlight w:val="none"/>
        </w:rPr>
      </w:pPr>
    </w:p>
    <w:p w14:paraId="38C84291">
      <w:pPr>
        <w:keepNext w:val="0"/>
        <w:keepLines w:val="0"/>
        <w:pageBreakBefore w:val="0"/>
        <w:widowControl w:val="0"/>
        <w:kinsoku/>
        <w:wordWrap/>
        <w:overflowPunct/>
        <w:topLinePunct w:val="0"/>
        <w:bidi w:val="0"/>
        <w:adjustRightInd/>
        <w:snapToGrid/>
        <w:spacing w:line="240" w:lineRule="auto"/>
        <w:jc w:val="both"/>
        <w:textAlignment w:val="auto"/>
        <w:rPr>
          <w:rFonts w:hint="eastAsia" w:ascii="方正小标宋_GBK" w:hAnsi="宋体" w:eastAsia="方正小标宋_GBK"/>
          <w:color w:val="auto"/>
          <w:sz w:val="44"/>
          <w:szCs w:val="44"/>
          <w:highlight w:val="none"/>
        </w:rPr>
      </w:pPr>
    </w:p>
    <w:p w14:paraId="3E823C6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额敏县国土资源执法监察大队</w:t>
      </w:r>
    </w:p>
    <w:p w14:paraId="23F2E12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14:paraId="6E7D0D7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588A244E">
      <w:pPr>
        <w:keepNext w:val="0"/>
        <w:keepLines w:val="0"/>
        <w:pageBreakBefore w:val="0"/>
        <w:kinsoku/>
        <w:wordWrap/>
        <w:overflowPunct/>
        <w:topLinePunct w:val="0"/>
        <w:bidi w:val="0"/>
        <w:spacing w:line="240" w:lineRule="auto"/>
        <w:jc w:val="both"/>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6C054F61">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5F5AFFF2">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0B6E9E5B">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0C222F3D">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5C3A2621">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1303D6F2">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4EA3D350">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48645F62">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22FD3D1D">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4383DD31">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66BCFD50">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7B5F2D30">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50F6A73A">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6B98A53A">
      <w:pPr>
        <w:keepNext w:val="0"/>
        <w:keepLines w:val="0"/>
        <w:pageBreakBefore w:val="0"/>
        <w:kinsoku/>
        <w:wordWrap/>
        <w:overflowPunct/>
        <w:topLinePunct w:val="0"/>
        <w:bidi w:val="0"/>
        <w:spacing w:line="240" w:lineRule="auto"/>
        <w:jc w:val="both"/>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0ACFE1C5">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4A347220">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78778343">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12E0B6CA">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59979E8F">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21218113">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40C874F8">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521DC1D7">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7EFD9271">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5C9FC5AF">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5E87D974">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0E9E16FB">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010B743C">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7EDA1BCB">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37B737A5">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34EA63F4">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35263E2A">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33953D3C">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175C6547">
      <w:pPr>
        <w:keepNext w:val="0"/>
        <w:keepLines w:val="0"/>
        <w:pageBreakBefore w:val="0"/>
        <w:kinsoku/>
        <w:wordWrap/>
        <w:overflowPunct/>
        <w:topLinePunct w:val="0"/>
        <w:bidi w:val="0"/>
        <w:spacing w:line="240" w:lineRule="auto"/>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6BBF63C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28921C7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6FDAFDB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bookmarkStart w:id="4" w:name="_Toc31238"/>
      <w:bookmarkStart w:id="5" w:name="_Toc2151"/>
      <w:r>
        <w:rPr>
          <w:rFonts w:hint="eastAsia" w:ascii="仿宋_GB2312" w:eastAsia="仿宋_GB2312"/>
          <w:color w:val="auto"/>
          <w:sz w:val="32"/>
          <w:szCs w:val="32"/>
          <w:highlight w:val="none"/>
          <w:lang w:eastAsia="zh-CN"/>
        </w:rPr>
        <w:t>额敏县国土资源执法监察</w:t>
      </w:r>
      <w:r>
        <w:rPr>
          <w:rFonts w:hint="eastAsia" w:ascii="仿宋_GB2312" w:eastAsia="仿宋_GB2312"/>
          <w:color w:val="auto"/>
          <w:sz w:val="32"/>
          <w:szCs w:val="32"/>
          <w:highlight w:val="none"/>
          <w:lang w:val="en-US" w:eastAsia="zh-CN"/>
        </w:rPr>
        <w:t>大</w:t>
      </w:r>
      <w:r>
        <w:rPr>
          <w:rFonts w:hint="eastAsia" w:ascii="仿宋_GB2312" w:eastAsia="仿宋_GB2312"/>
          <w:color w:val="auto"/>
          <w:sz w:val="32"/>
          <w:szCs w:val="32"/>
          <w:highlight w:val="none"/>
          <w:lang w:eastAsia="zh-CN"/>
        </w:rPr>
        <w:t>队</w:t>
      </w:r>
      <w:r>
        <w:rPr>
          <w:rFonts w:hint="eastAsia" w:ascii="仿宋_GB2312" w:eastAsia="仿宋_GB2312"/>
          <w:color w:val="auto"/>
          <w:sz w:val="32"/>
          <w:szCs w:val="32"/>
          <w:highlight w:val="none"/>
        </w:rPr>
        <w:t>，为自治区自然资源厅下属</w:t>
      </w:r>
      <w:r>
        <w:rPr>
          <w:rFonts w:hint="eastAsia" w:ascii="仿宋_GB2312" w:eastAsia="仿宋_GB2312"/>
          <w:color w:val="auto"/>
          <w:sz w:val="32"/>
          <w:szCs w:val="32"/>
          <w:highlight w:val="none"/>
          <w:lang w:val="en-US" w:eastAsia="zh-CN"/>
        </w:rPr>
        <w:t>副科</w:t>
      </w:r>
      <w:r>
        <w:rPr>
          <w:rFonts w:hint="eastAsia" w:ascii="仿宋_GB2312" w:eastAsia="仿宋_GB2312"/>
          <w:color w:val="auto"/>
          <w:sz w:val="32"/>
          <w:szCs w:val="32"/>
          <w:highlight w:val="none"/>
        </w:rPr>
        <w:t>级单位，参照公务员</w:t>
      </w:r>
      <w:r>
        <w:rPr>
          <w:rFonts w:hint="eastAsia" w:ascii="仿宋_GB2312" w:eastAsia="仿宋_GB2312"/>
          <w:color w:val="auto"/>
          <w:sz w:val="32"/>
          <w:szCs w:val="32"/>
          <w:highlight w:val="none"/>
          <w:lang w:eastAsia="zh-CN"/>
        </w:rPr>
        <w:t>法</w:t>
      </w:r>
      <w:r>
        <w:rPr>
          <w:rFonts w:hint="eastAsia" w:ascii="仿宋_GB2312" w:eastAsia="仿宋_GB2312"/>
          <w:color w:val="auto"/>
          <w:sz w:val="32"/>
          <w:szCs w:val="32"/>
          <w:highlight w:val="none"/>
        </w:rPr>
        <w:t>管理</w:t>
      </w:r>
      <w:r>
        <w:rPr>
          <w:rFonts w:hint="eastAsia" w:ascii="仿宋_GB2312" w:eastAsia="仿宋_GB2312"/>
          <w:color w:val="auto"/>
          <w:sz w:val="32"/>
          <w:szCs w:val="32"/>
          <w:highlight w:val="none"/>
          <w:lang w:eastAsia="zh-CN"/>
        </w:rPr>
        <w:t>的事业单位</w:t>
      </w:r>
      <w:r>
        <w:rPr>
          <w:rFonts w:hint="eastAsia" w:ascii="仿宋_GB2312" w:eastAsia="仿宋_GB2312"/>
          <w:color w:val="auto"/>
          <w:sz w:val="32"/>
          <w:szCs w:val="32"/>
          <w:highlight w:val="none"/>
        </w:rPr>
        <w:t>。实行垂直管理，</w:t>
      </w:r>
      <w:r>
        <w:rPr>
          <w:rFonts w:hint="eastAsia" w:ascii="仿宋_GB2312" w:eastAsia="仿宋_GB2312"/>
          <w:color w:val="auto"/>
          <w:sz w:val="32"/>
          <w:szCs w:val="32"/>
          <w:highlight w:val="none"/>
          <w:lang w:eastAsia="zh-CN"/>
        </w:rPr>
        <w:t>统一履行</w:t>
      </w:r>
      <w:r>
        <w:rPr>
          <w:rFonts w:hint="eastAsia" w:ascii="仿宋_GB2312" w:eastAsia="仿宋_GB2312"/>
          <w:color w:val="auto"/>
          <w:sz w:val="32"/>
          <w:szCs w:val="32"/>
          <w:highlight w:val="none"/>
          <w:lang w:val="en-US" w:eastAsia="zh-CN"/>
        </w:rPr>
        <w:t>塔城地区国土</w:t>
      </w:r>
      <w:r>
        <w:rPr>
          <w:rFonts w:hint="eastAsia" w:ascii="仿宋_GB2312" w:eastAsia="仿宋_GB2312"/>
          <w:color w:val="auto"/>
          <w:sz w:val="32"/>
          <w:szCs w:val="32"/>
          <w:highlight w:val="none"/>
          <w:lang w:eastAsia="zh-CN"/>
        </w:rPr>
        <w:t>资源执法监察职能。</w:t>
      </w:r>
    </w:p>
    <w:p w14:paraId="142B8ED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、宣传和贯彻执行国家、自治区有关土地、矿产资源的法律、法规、规章和政策。</w:t>
      </w:r>
    </w:p>
    <w:p w14:paraId="0503F99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sz w:val="32"/>
          <w:szCs w:val="32"/>
        </w:rPr>
      </w:pP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、组织和实施对县域时发现和制止土地、矿产资源违法行为。</w:t>
      </w:r>
      <w:r>
        <w:rPr>
          <w:rFonts w:hint="eastAsia" w:ascii="仿宋_GB2312" w:eastAsia="仿宋_GB2312"/>
          <w:color w:val="auto"/>
          <w:sz w:val="32"/>
          <w:szCs w:val="32"/>
          <w:highlight w:val="none"/>
          <w:lang w:eastAsia="zh-CN"/>
        </w:rPr>
        <w:br w:type="textWrapping"/>
      </w:r>
      <w:r>
        <w:rPr>
          <w:rFonts w:hint="eastAsia" w:ascii="仿宋_GB2312" w:eastAsia="仿宋_GB2312"/>
          <w:color w:val="auto"/>
          <w:sz w:val="32"/>
          <w:szCs w:val="32"/>
          <w:highlight w:val="none"/>
          <w:lang w:val="en-US" w:eastAsia="zh-CN"/>
        </w:rPr>
        <w:t xml:space="preserve">    </w:t>
      </w:r>
      <w:r>
        <w:rPr>
          <w:rFonts w:hint="eastAsia" w:ascii="仿宋_GB2312" w:eastAsia="仿宋_GB2312"/>
          <w:color w:val="auto"/>
          <w:sz w:val="32"/>
          <w:szCs w:val="32"/>
          <w:highlight w:val="none"/>
          <w:lang w:eastAsia="zh-CN"/>
        </w:rPr>
        <w:t>3、依法组织和实施县域内重大土地、矿产资源违法案件的调查、取证、现场勘验工作，并进行查处。</w:t>
      </w:r>
      <w:r>
        <w:rPr>
          <w:rFonts w:hint="eastAsia" w:ascii="仿宋_GB2312" w:eastAsia="仿宋_GB2312"/>
          <w:color w:val="auto"/>
          <w:sz w:val="32"/>
          <w:szCs w:val="32"/>
          <w:highlight w:val="none"/>
          <w:lang w:eastAsia="zh-CN"/>
        </w:rPr>
        <w:br w:type="textWrapping"/>
      </w:r>
      <w:r>
        <w:rPr>
          <w:rFonts w:hint="eastAsia" w:ascii="仿宋_GB2312" w:eastAsia="仿宋_GB2312"/>
          <w:color w:val="auto"/>
          <w:sz w:val="32"/>
          <w:szCs w:val="32"/>
          <w:highlight w:val="none"/>
          <w:lang w:val="en-US" w:eastAsia="zh-CN"/>
        </w:rPr>
        <w:t xml:space="preserve">    </w:t>
      </w:r>
      <w:r>
        <w:rPr>
          <w:rFonts w:hint="eastAsia" w:ascii="仿宋_GB2312" w:eastAsia="仿宋_GB2312"/>
          <w:color w:val="auto"/>
          <w:sz w:val="32"/>
          <w:szCs w:val="32"/>
          <w:highlight w:val="none"/>
          <w:lang w:eastAsia="zh-CN"/>
        </w:rPr>
        <w:t>4、完成上级国土资源执法监察部门交办的其它工作。</w:t>
      </w:r>
      <w:r>
        <w:rPr>
          <w:rFonts w:hint="eastAsia" w:ascii="仿宋_GB2312" w:eastAsia="仿宋_GB2312"/>
          <w:color w:val="auto"/>
          <w:sz w:val="32"/>
          <w:szCs w:val="32"/>
          <w:highlight w:val="none"/>
          <w:lang w:eastAsia="zh-CN"/>
        </w:rPr>
        <w:br w:type="textWrapping"/>
      </w:r>
      <w:r>
        <w:rPr>
          <w:rFonts w:hint="eastAsia" w:ascii="仿宋_GB2312" w:eastAsia="仿宋_GB2312"/>
          <w:color w:val="auto"/>
          <w:sz w:val="32"/>
          <w:szCs w:val="32"/>
          <w:highlight w:val="none"/>
          <w:lang w:val="en-US" w:eastAsia="zh-CN"/>
        </w:rPr>
        <w:t xml:space="preserve">    </w:t>
      </w:r>
      <w:r>
        <w:rPr>
          <w:rFonts w:hint="eastAsia" w:ascii="仿宋_GB2312" w:eastAsia="仿宋_GB2312"/>
          <w:color w:val="auto"/>
          <w:sz w:val="32"/>
          <w:szCs w:val="32"/>
          <w:highlight w:val="none"/>
          <w:lang w:eastAsia="zh-CN"/>
        </w:rPr>
        <w:t>5、完成自治区党委内执行土地、矿产资源法律、法规、规章情况的巡查，及、政府和上级管理部门交办的其他工作。</w:t>
      </w:r>
    </w:p>
    <w:p w14:paraId="28D2465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200674B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额敏县国土资源执法监察大队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3</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rPr>
        <w:t>人。</w:t>
      </w:r>
    </w:p>
    <w:p w14:paraId="148BAD84">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1</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color w:val="auto"/>
          <w:kern w:val="0"/>
          <w:sz w:val="32"/>
          <w:szCs w:val="32"/>
          <w:highlight w:val="none"/>
          <w:lang w:val="en-US" w:eastAsia="zh-CN"/>
        </w:rPr>
        <w:t>综合办公室</w:t>
      </w:r>
      <w:r>
        <w:rPr>
          <w:rFonts w:hint="eastAsia" w:ascii="仿宋_GB2312" w:hAnsi="宋体" w:eastAsia="仿宋_GB2312" w:cs="宋体"/>
          <w:color w:val="auto"/>
          <w:kern w:val="0"/>
          <w:sz w:val="32"/>
          <w:szCs w:val="32"/>
          <w:highlight w:val="none"/>
        </w:rPr>
        <w:t>。</w:t>
      </w:r>
    </w:p>
    <w:p w14:paraId="64C2C74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5AAE0B6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6156463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146.24万元，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144.90万元，使用非财政拨款结余0.00万元，年初结转和结余1.34万元。</w:t>
      </w:r>
    </w:p>
    <w:p w14:paraId="01A78D3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146.24万元，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140.43万元，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0.00万元，年末结转和结余5.81万元。</w:t>
      </w:r>
    </w:p>
    <w:p w14:paraId="30E8D341">
      <w:pPr>
        <w:keepNext w:val="0"/>
        <w:keepLines w:val="0"/>
        <w:pageBreakBefore w:val="0"/>
        <w:kinsoku/>
        <w:wordWrap/>
        <w:overflowPunct/>
        <w:topLinePunct w:val="0"/>
        <w:bidi w:val="0"/>
        <w:spacing w:line="240" w:lineRule="auto"/>
        <w:ind w:firstLine="640" w:firstLineChars="200"/>
        <w:jc w:val="both"/>
        <w:textAlignment w:val="auto"/>
        <w:rPr>
          <w:rFonts w:ascii="仿宋_GB2312" w:eastAsia="仿宋_GB2312"/>
          <w:sz w:val="32"/>
          <w:szCs w:val="32"/>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增加12.87万元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增长9.65%</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人员增资，基本工资、津贴补贴、奖金、机关事业单位基本养老保险缴费、职工基本医疗保险缴费、公务员医疗补助缴费、住房公积金、退休费、生活补助、医疗费补助费用相应增加。</w:t>
      </w:r>
    </w:p>
    <w:p w14:paraId="79B4D5F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1200450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144.90</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144.89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52B69C5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3619811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本年支出140.43万元，其中：基本支出114.90万元，占81.82%；项目支出25.53万元，占18.18%；上缴上级支出0.00万元，占0.00%；经营支出0.00万元，占0.00%；对附属单位补助支出0.00万元，占0.00%。</w:t>
      </w:r>
    </w:p>
    <w:p w14:paraId="271489C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47352E2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146.23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1.34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144.89</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146.23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5.81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140.42</w:t>
      </w:r>
      <w:r>
        <w:rPr>
          <w:rFonts w:hint="eastAsia" w:ascii="仿宋_GB2312" w:eastAsia="仿宋_GB2312"/>
          <w:color w:val="auto"/>
          <w:spacing w:val="0"/>
          <w:sz w:val="32"/>
          <w:szCs w:val="32"/>
          <w:highlight w:val="none"/>
          <w:lang w:eastAsia="zh-CN"/>
        </w:rPr>
        <w:t>万元。</w:t>
      </w:r>
    </w:p>
    <w:p w14:paraId="0897E4D2">
      <w:pPr>
        <w:keepNext w:val="0"/>
        <w:keepLines w:val="0"/>
        <w:pageBreakBefore w:val="0"/>
        <w:kinsoku/>
        <w:wordWrap/>
        <w:overflowPunct/>
        <w:topLinePunct w:val="0"/>
        <w:bidi w:val="0"/>
        <w:spacing w:line="240" w:lineRule="auto"/>
        <w:ind w:firstLine="640" w:firstLineChars="200"/>
        <w:jc w:val="both"/>
        <w:textAlignment w:val="auto"/>
        <w:rPr>
          <w:rFonts w:ascii="仿宋_GB2312" w:eastAsia="仿宋_GB2312"/>
          <w:sz w:val="32"/>
          <w:szCs w:val="32"/>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增加12.86万元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增长9.65%，</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人员增资，基本工资、津贴补贴、奖金、机关事业单位基本养老保险缴费、职工基本医疗保险缴费、公务员医疗补助缴费、住房公积金、退休费、生活补助、医疗费补助费用相应增加。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129.29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146.23</w:t>
      </w:r>
      <w:r>
        <w:rPr>
          <w:rFonts w:hint="eastAsia" w:ascii="仿宋_GB2312" w:eastAsia="仿宋_GB2312"/>
          <w:color w:val="auto"/>
          <w:spacing w:val="0"/>
          <w:sz w:val="32"/>
          <w:szCs w:val="32"/>
          <w:highlight w:val="none"/>
          <w:lang w:eastAsia="zh-CN"/>
        </w:rPr>
        <w:t>万元，预决算差异率13.11%，主要原因是：</w:t>
      </w:r>
      <w:r>
        <w:rPr>
          <w:rFonts w:hint="eastAsia" w:ascii="仿宋_GB2312" w:eastAsia="仿宋_GB2312"/>
          <w:sz w:val="32"/>
          <w:szCs w:val="32"/>
          <w:lang w:val="en-US" w:eastAsia="zh-CN"/>
        </w:rPr>
        <w:t>追加年度考核奖及基础绩效奖金和艰苦边远津贴补贴</w:t>
      </w:r>
      <w:r>
        <w:rPr>
          <w:rFonts w:hint="eastAsia" w:ascii="仿宋_GB2312" w:eastAsia="仿宋_GB2312"/>
          <w:sz w:val="32"/>
          <w:szCs w:val="32"/>
        </w:rPr>
        <w:t>。</w:t>
      </w:r>
    </w:p>
    <w:p w14:paraId="0BC31E2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385A933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3B78E6FB">
      <w:pPr>
        <w:keepNext w:val="0"/>
        <w:keepLines w:val="0"/>
        <w:pageBreakBefore w:val="0"/>
        <w:kinsoku/>
        <w:wordWrap/>
        <w:overflowPunct/>
        <w:topLinePunct w:val="0"/>
        <w:bidi w:val="0"/>
        <w:spacing w:line="240" w:lineRule="auto"/>
        <w:ind w:firstLine="640" w:firstLineChars="200"/>
        <w:jc w:val="both"/>
        <w:textAlignment w:val="auto"/>
        <w:rPr>
          <w:rFonts w:ascii="仿宋_GB2312" w:eastAsia="仿宋_GB2312"/>
          <w:sz w:val="32"/>
          <w:szCs w:val="32"/>
        </w:rPr>
      </w:pPr>
      <w:r>
        <w:rPr>
          <w:rFonts w:hint="eastAsia" w:ascii="仿宋_GB2312" w:eastAsia="仿宋_GB2312"/>
          <w:color w:val="auto"/>
          <w:spacing w:val="0"/>
          <w:sz w:val="32"/>
          <w:szCs w:val="32"/>
          <w:highlight w:val="none"/>
          <w:lang w:eastAsia="zh-CN"/>
        </w:rPr>
        <w:t>2023年度一般公共预算财政拨款支出140.42万元，占本年支出合计的</w:t>
      </w:r>
      <w:r>
        <w:rPr>
          <w:rFonts w:hint="eastAsia" w:ascii="仿宋_GB2312" w:eastAsia="仿宋_GB2312"/>
          <w:color w:val="auto"/>
          <w:spacing w:val="0"/>
          <w:sz w:val="32"/>
          <w:szCs w:val="32"/>
          <w:highlight w:val="none"/>
          <w:lang w:val="zh-CN" w:eastAsia="zh-CN"/>
        </w:rPr>
        <w:t>99.99%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增加8.39万元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增长6.35%，</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人员增资</w:t>
      </w:r>
      <w:r>
        <w:rPr>
          <w:rFonts w:hint="eastAsia" w:ascii="仿宋_GB2312" w:eastAsia="仿宋_GB2312"/>
          <w:sz w:val="32"/>
          <w:szCs w:val="32"/>
          <w:lang w:val="en-US" w:eastAsia="zh-CN"/>
        </w:rPr>
        <w:t>,</w:t>
      </w:r>
      <w:r>
        <w:rPr>
          <w:rFonts w:hint="eastAsia" w:ascii="仿宋_GB2312" w:eastAsia="仿宋_GB2312"/>
          <w:sz w:val="32"/>
          <w:szCs w:val="32"/>
        </w:rPr>
        <w:t>基本工资及社保费用支出相应增加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129.29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140.42</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8.61%</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追加人员</w:t>
      </w:r>
      <w:r>
        <w:rPr>
          <w:rFonts w:hint="eastAsia" w:ascii="仿宋_GB2312" w:eastAsia="仿宋_GB2312"/>
          <w:sz w:val="32"/>
          <w:szCs w:val="32"/>
          <w:lang w:val="en-US" w:eastAsia="zh-CN"/>
        </w:rPr>
        <w:t>艰苦边远津贴补贴</w:t>
      </w:r>
      <w:r>
        <w:rPr>
          <w:rFonts w:hint="eastAsia" w:ascii="仿宋_GB2312" w:eastAsia="仿宋_GB2312"/>
          <w:sz w:val="32"/>
          <w:szCs w:val="32"/>
        </w:rPr>
        <w:t>及上年度绩效考核奖金。</w:t>
      </w:r>
    </w:p>
    <w:p w14:paraId="0DACA238">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2DFF6C0D">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19.70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14.03</w:t>
      </w:r>
      <w:r>
        <w:rPr>
          <w:rFonts w:hint="default" w:ascii="仿宋_GB2312" w:hAnsi="Times New Roman" w:eastAsia="仿宋_GB2312" w:cs="Times New Roman"/>
          <w:color w:val="auto"/>
          <w:spacing w:val="0"/>
          <w:kern w:val="2"/>
          <w:sz w:val="32"/>
          <w:szCs w:val="32"/>
          <w:highlight w:val="none"/>
          <w:lang w:val="zh-CN" w:eastAsia="zh-CN" w:bidi="ar-SA"/>
        </w:rPr>
        <w:t>%；</w:t>
      </w:r>
    </w:p>
    <w:p w14:paraId="50B32C1E">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9.23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6.57</w:t>
      </w:r>
      <w:r>
        <w:rPr>
          <w:rFonts w:hint="default" w:ascii="仿宋_GB2312" w:hAnsi="Times New Roman" w:eastAsia="仿宋_GB2312" w:cs="Times New Roman"/>
          <w:color w:val="auto"/>
          <w:spacing w:val="0"/>
          <w:kern w:val="2"/>
          <w:sz w:val="32"/>
          <w:szCs w:val="32"/>
          <w:highlight w:val="none"/>
          <w:lang w:val="zh-CN" w:eastAsia="zh-CN" w:bidi="ar-SA"/>
        </w:rPr>
        <w:t>%；</w:t>
      </w:r>
    </w:p>
    <w:p w14:paraId="65DAB308">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104.14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74.16</w:t>
      </w:r>
      <w:r>
        <w:rPr>
          <w:rFonts w:hint="default" w:ascii="仿宋_GB2312" w:hAnsi="Times New Roman" w:eastAsia="仿宋_GB2312" w:cs="Times New Roman"/>
          <w:color w:val="auto"/>
          <w:spacing w:val="0"/>
          <w:kern w:val="2"/>
          <w:sz w:val="32"/>
          <w:szCs w:val="32"/>
          <w:highlight w:val="none"/>
          <w:lang w:val="zh-CN" w:eastAsia="zh-CN" w:bidi="ar-SA"/>
        </w:rPr>
        <w:t>%；</w:t>
      </w:r>
    </w:p>
    <w:p w14:paraId="30F95DB7">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7.35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5.23</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14:paraId="26602E5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6B343908">
      <w:pPr>
        <w:keepNext w:val="0"/>
        <w:keepLines w:val="0"/>
        <w:pageBreakBefore w:val="0"/>
        <w:kinsoku/>
        <w:wordWrap/>
        <w:overflowPunct/>
        <w:topLinePunct w:val="0"/>
        <w:bidi w:val="0"/>
        <w:spacing w:line="240" w:lineRule="auto"/>
        <w:ind w:firstLine="640" w:firstLineChars="200"/>
        <w:jc w:val="both"/>
        <w:textAlignment w:val="auto"/>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1.卫生健康支出（类）行政事业单位医疗（款）行政单位医疗（项）:支出决算数为4.94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12.16%，主要原因是：</w:t>
      </w:r>
      <w:r>
        <w:rPr>
          <w:rFonts w:hint="eastAsia" w:ascii="仿宋_GB2312" w:eastAsia="仿宋_GB2312"/>
          <w:sz w:val="32"/>
          <w:szCs w:val="32"/>
        </w:rPr>
        <w:t>人员增资，医疗保险缴纳基数提高，缴纳行政单位医疗保险费用相应增加。</w:t>
      </w:r>
    </w:p>
    <w:p w14:paraId="28749C0E">
      <w:pPr>
        <w:keepNext w:val="0"/>
        <w:keepLines w:val="0"/>
        <w:pageBreakBefore w:val="0"/>
        <w:kinsoku/>
        <w:wordWrap/>
        <w:overflowPunct/>
        <w:topLinePunct w:val="0"/>
        <w:bidi w:val="0"/>
        <w:spacing w:line="240" w:lineRule="auto"/>
        <w:ind w:firstLine="640" w:firstLineChars="200"/>
        <w:jc w:val="both"/>
        <w:textAlignment w:val="auto"/>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2.卫生健康支出（类）行政事业单位医疗（款）公务员医疗补助（项）:支出决算数为4.29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25.10%，主要原因是：</w:t>
      </w:r>
      <w:r>
        <w:rPr>
          <w:rFonts w:hint="eastAsia" w:ascii="仿宋_GB2312" w:eastAsia="仿宋_GB2312"/>
          <w:sz w:val="32"/>
          <w:szCs w:val="32"/>
        </w:rPr>
        <w:t>人员增资，缴纳基数提高，缴纳公务员医疗补助费用相应增加。</w:t>
      </w:r>
    </w:p>
    <w:p w14:paraId="4822B2BB">
      <w:pPr>
        <w:keepNext w:val="0"/>
        <w:keepLines w:val="0"/>
        <w:pageBreakBefore w:val="0"/>
        <w:kinsoku/>
        <w:wordWrap/>
        <w:overflowPunct/>
        <w:topLinePunct w:val="0"/>
        <w:bidi w:val="0"/>
        <w:spacing w:line="240" w:lineRule="auto"/>
        <w:ind w:firstLine="640" w:firstLineChars="200"/>
        <w:jc w:val="both"/>
        <w:textAlignment w:val="auto"/>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3.自然资源海洋气象等支出（类）自然资源事务（款）其他自然资源事务支出（项）:支出决算数为25.53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3.61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12.39%，主要原因是：</w:t>
      </w:r>
      <w:r>
        <w:rPr>
          <w:rFonts w:hint="eastAsia" w:ascii="仿宋_GB2312" w:eastAsia="仿宋_GB2312"/>
          <w:sz w:val="32"/>
          <w:szCs w:val="32"/>
        </w:rPr>
        <w:t>大队对办公用品等耗材本着节约集约利用的原则，在不影响工作正常开展的前提下，缩减办公用品开支。</w:t>
      </w:r>
    </w:p>
    <w:p w14:paraId="47F65FB2">
      <w:pPr>
        <w:keepNext w:val="0"/>
        <w:keepLines w:val="0"/>
        <w:pageBreakBefore w:val="0"/>
        <w:kinsoku/>
        <w:wordWrap/>
        <w:overflowPunct/>
        <w:topLinePunct w:val="0"/>
        <w:bidi w:val="0"/>
        <w:spacing w:line="240" w:lineRule="auto"/>
        <w:ind w:firstLine="640" w:firstLineChars="200"/>
        <w:jc w:val="both"/>
        <w:textAlignment w:val="auto"/>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4.自然资源海洋气象等支出（类）自然资源事务（款）行政运行（项）:支出决算数为78.61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0.81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1.04%，主要原因是：</w:t>
      </w:r>
      <w:r>
        <w:rPr>
          <w:rFonts w:hint="eastAsia" w:ascii="仿宋_GB2312" w:eastAsia="仿宋_GB2312"/>
          <w:sz w:val="32"/>
          <w:szCs w:val="32"/>
        </w:rPr>
        <w:t>人员增资，相应人员经费</w:t>
      </w:r>
      <w:r>
        <w:rPr>
          <w:rFonts w:hint="eastAsia" w:ascii="仿宋_GB2312" w:eastAsia="仿宋_GB2312"/>
          <w:sz w:val="32"/>
          <w:szCs w:val="32"/>
          <w:lang w:val="en-US" w:eastAsia="zh-CN"/>
        </w:rPr>
        <w:t>支出</w:t>
      </w:r>
      <w:r>
        <w:rPr>
          <w:rFonts w:hint="eastAsia" w:ascii="仿宋_GB2312" w:eastAsia="仿宋_GB2312"/>
          <w:sz w:val="32"/>
          <w:szCs w:val="32"/>
        </w:rPr>
        <w:t>增加。</w:t>
      </w:r>
    </w:p>
    <w:p w14:paraId="7741327E">
      <w:pPr>
        <w:keepNext w:val="0"/>
        <w:keepLines w:val="0"/>
        <w:pageBreakBefore w:val="0"/>
        <w:kinsoku/>
        <w:wordWrap/>
        <w:overflowPunct/>
        <w:topLinePunct w:val="0"/>
        <w:bidi w:val="0"/>
        <w:spacing w:line="240" w:lineRule="auto"/>
        <w:ind w:firstLine="640" w:firstLineChars="200"/>
        <w:jc w:val="both"/>
        <w:textAlignment w:val="auto"/>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5.住房保障支出（类）住房改革支出（款）住房公积金（项）:支出决算数为7.35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20.39%，主要原因是：</w:t>
      </w:r>
      <w:r>
        <w:rPr>
          <w:rFonts w:hint="eastAsia" w:ascii="仿宋_GB2312" w:eastAsia="仿宋_GB2312"/>
          <w:sz w:val="32"/>
          <w:szCs w:val="32"/>
        </w:rPr>
        <w:t>人员增资，住房公积金基数增加，缴纳职工住房公积金费用增加。</w:t>
      </w:r>
    </w:p>
    <w:p w14:paraId="343EA6AC">
      <w:pPr>
        <w:keepNext w:val="0"/>
        <w:keepLines w:val="0"/>
        <w:pageBreakBefore w:val="0"/>
        <w:kinsoku/>
        <w:wordWrap/>
        <w:overflowPunct/>
        <w:topLinePunct w:val="0"/>
        <w:bidi w:val="0"/>
        <w:spacing w:line="240" w:lineRule="auto"/>
        <w:ind w:firstLine="640" w:firstLineChars="200"/>
        <w:jc w:val="both"/>
        <w:textAlignment w:val="auto"/>
        <w:outlineLvl w:val="1"/>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6.社会保障和就业支出（类）行政事业单位养老支出（款）行政单位离退休（项）:支出决算数为2.95万元，比上年决算减少0.06万元，下降1.91%，主要原因是：2023年退休人员，医疗费已缴纳</w:t>
      </w:r>
      <w:r>
        <w:rPr>
          <w:rFonts w:hint="eastAsia" w:eastAsia="仿宋_GB2312" w:cs="Times New Roman"/>
          <w:color w:val="auto"/>
          <w:kern w:val="2"/>
          <w:sz w:val="32"/>
          <w:szCs w:val="32"/>
          <w:highlight w:val="none"/>
          <w:lang w:val="en-US" w:eastAsia="zh-CN" w:bidi="ar-SA"/>
        </w:rPr>
        <w:t>够</w:t>
      </w:r>
      <w:r>
        <w:rPr>
          <w:rFonts w:hint="eastAsia" w:ascii="Times New Roman" w:hAnsi="Times New Roman" w:eastAsia="仿宋_GB2312" w:cs="Times New Roman"/>
          <w:color w:val="auto"/>
          <w:kern w:val="2"/>
          <w:sz w:val="32"/>
          <w:szCs w:val="32"/>
          <w:highlight w:val="none"/>
          <w:lang w:val="en-US" w:eastAsia="zh-CN" w:bidi="ar-SA"/>
        </w:rPr>
        <w:t>20年，无需缴纳医疗费。</w:t>
      </w:r>
    </w:p>
    <w:p w14:paraId="7E62337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7.社会保障和就业支出（类）行政事业单位养老支出（款）机关事业单位职业年金缴费支出（项）:支出决算数为6.95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6.95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大队本年1名干部退休，补缴职业年金单位部分</w:t>
      </w:r>
      <w:r>
        <w:rPr>
          <w:rFonts w:hint="eastAsia" w:eastAsia="仿宋_GB2312" w:cs="Times New Roman"/>
          <w:color w:val="auto"/>
          <w:kern w:val="2"/>
          <w:sz w:val="32"/>
          <w:szCs w:val="32"/>
          <w:highlight w:val="none"/>
          <w:lang w:val="zh-CN" w:eastAsia="zh-CN" w:bidi="ar-SA"/>
        </w:rPr>
        <w:t>。</w:t>
      </w:r>
    </w:p>
    <w:p w14:paraId="63148B8E">
      <w:pPr>
        <w:keepNext w:val="0"/>
        <w:keepLines w:val="0"/>
        <w:pageBreakBefore w:val="0"/>
        <w:kinsoku/>
        <w:wordWrap/>
        <w:overflowPunct/>
        <w:topLinePunct w:val="0"/>
        <w:bidi w:val="0"/>
        <w:spacing w:line="240" w:lineRule="auto"/>
        <w:ind w:firstLine="640" w:firstLineChars="200"/>
        <w:jc w:val="both"/>
        <w:textAlignment w:val="auto"/>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8.社会保障和就业支出（类）行政事业单位养老支出（款）机关事业单位基本养老保险缴费支出（项）:支出决算数为9.80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1.66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20.39%，主要原因是：</w:t>
      </w:r>
      <w:r>
        <w:rPr>
          <w:rFonts w:hint="eastAsia" w:ascii="仿宋_GB2312" w:eastAsia="仿宋_GB2312"/>
          <w:sz w:val="32"/>
          <w:szCs w:val="32"/>
        </w:rPr>
        <w:t>人员增资，</w:t>
      </w:r>
      <w:r>
        <w:rPr>
          <w:rFonts w:hint="eastAsia" w:ascii="仿宋_GB2312" w:eastAsia="仿宋_GB2312"/>
          <w:sz w:val="32"/>
          <w:szCs w:val="32"/>
          <w:lang w:val="en-US" w:eastAsia="zh-CN"/>
        </w:rPr>
        <w:t>养老保险</w:t>
      </w:r>
      <w:r>
        <w:rPr>
          <w:rFonts w:hint="eastAsia" w:ascii="仿宋_GB2312" w:eastAsia="仿宋_GB2312"/>
          <w:sz w:val="32"/>
          <w:szCs w:val="32"/>
        </w:rPr>
        <w:t>基数增加，缴纳</w:t>
      </w:r>
      <w:r>
        <w:rPr>
          <w:rFonts w:hint="eastAsia" w:ascii="仿宋_GB2312" w:eastAsia="仿宋_GB2312"/>
          <w:sz w:val="32"/>
          <w:szCs w:val="32"/>
          <w:lang w:val="en-US" w:eastAsia="zh-CN"/>
        </w:rPr>
        <w:t>干部养老保险</w:t>
      </w:r>
      <w:r>
        <w:rPr>
          <w:rFonts w:hint="eastAsia" w:ascii="仿宋_GB2312" w:eastAsia="仿宋_GB2312"/>
          <w:sz w:val="32"/>
          <w:szCs w:val="32"/>
        </w:rPr>
        <w:t>费用增加。</w:t>
      </w:r>
    </w:p>
    <w:p w14:paraId="5F83B5C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65E92D1D">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114.89</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108.88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基本工资、津贴补贴、奖金、机关事业单位基本养老保险缴费、职业年金缴费、职工基本医疗保险缴费、公务员医疗补助缴费、住房公积金、其他工资福利支出、退休费。</w:t>
      </w:r>
    </w:p>
    <w:p w14:paraId="23D83FD5">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6.01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办公费、取暖费、差旅费、工会经费、福利费、其他交通费用、其他商品和服务支出。</w:t>
      </w:r>
    </w:p>
    <w:p w14:paraId="3EDD2A1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5D4D1657">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sz w:val="32"/>
          <w:szCs w:val="32"/>
          <w:lang w:eastAsia="zh-CN"/>
        </w:rPr>
        <w:t>；</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sz w:val="32"/>
          <w:szCs w:val="32"/>
        </w:rPr>
        <w:t>。</w:t>
      </w:r>
    </w:p>
    <w:p w14:paraId="53E44204">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0993D07B">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427FB224">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sz w:val="32"/>
          <w:szCs w:val="32"/>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公务用车购置及运行维护费0.00万元，其中：公务用车购置费0.00万元，公务用车运行维护费0.00万元。开支内容包括</w:t>
      </w:r>
      <w:r>
        <w:rPr>
          <w:rFonts w:ascii="仿宋_GB2312" w:eastAsia="仿宋_GB2312"/>
          <w:sz w:val="32"/>
          <w:szCs w:val="32"/>
        </w:rPr>
        <w:t>我单位无公务用车购置及运行维护费</w:t>
      </w:r>
      <w:r>
        <w:rPr>
          <w:rFonts w:hint="eastAsia" w:ascii="仿宋_GB2312" w:eastAsia="仿宋_GB2312"/>
          <w:color w:val="auto"/>
          <w:sz w:val="32"/>
          <w:szCs w:val="32"/>
          <w:highlight w:val="none"/>
          <w:lang w:val="zh-CN" w:eastAsia="zh-CN"/>
        </w:rPr>
        <w:t>。</w:t>
      </w:r>
      <w:r>
        <w:rPr>
          <w:rFonts w:hint="eastAsia" w:ascii="仿宋_GB2312" w:eastAsia="仿宋_GB2312"/>
          <w:sz w:val="32"/>
          <w:szCs w:val="32"/>
          <w:lang w:val="zh-CN" w:eastAsia="zh-CN"/>
        </w:rPr>
        <w:t>公务用车购置数0辆，公务用车保有量0辆。国有资产占用情况</w:t>
      </w:r>
      <w:r>
        <w:rPr>
          <w:rFonts w:hint="eastAsia" w:ascii="仿宋_GB2312" w:eastAsia="仿宋_GB2312"/>
          <w:sz w:val="32"/>
          <w:szCs w:val="32"/>
          <w:lang w:val="en-US" w:eastAsia="zh-CN"/>
        </w:rPr>
        <w:t>中固定资产车辆</w:t>
      </w:r>
      <w:r>
        <w:rPr>
          <w:rFonts w:hint="eastAsia" w:ascii="仿宋_GB2312" w:eastAsia="仿宋_GB2312"/>
          <w:sz w:val="32"/>
          <w:szCs w:val="32"/>
          <w:lang w:val="zh-CN" w:eastAsia="zh-CN"/>
        </w:rPr>
        <w:t>1辆，</w:t>
      </w:r>
      <w:r>
        <w:rPr>
          <w:rFonts w:hint="eastAsia" w:ascii="仿宋_GB2312" w:eastAsia="仿宋_GB2312"/>
          <w:sz w:val="32"/>
          <w:szCs w:val="32"/>
          <w:lang w:val="en-US" w:eastAsia="zh-CN"/>
        </w:rPr>
        <w:t>与</w:t>
      </w:r>
      <w:r>
        <w:rPr>
          <w:rFonts w:hint="eastAsia" w:ascii="仿宋_GB2312" w:eastAsia="仿宋_GB2312"/>
          <w:sz w:val="32"/>
          <w:szCs w:val="32"/>
          <w:lang w:val="zh-CN" w:eastAsia="zh-CN"/>
        </w:rPr>
        <w:t>公务用车</w:t>
      </w:r>
      <w:r>
        <w:rPr>
          <w:rFonts w:hint="eastAsia" w:ascii="仿宋_GB2312" w:eastAsia="仿宋_GB2312"/>
          <w:sz w:val="32"/>
          <w:szCs w:val="32"/>
          <w:lang w:val="en-US" w:eastAsia="zh-CN"/>
        </w:rPr>
        <w:t>保有量差异</w:t>
      </w:r>
      <w:r>
        <w:rPr>
          <w:rFonts w:hint="eastAsia" w:ascii="仿宋_GB2312" w:eastAsia="仿宋_GB2312"/>
          <w:sz w:val="32"/>
          <w:szCs w:val="32"/>
          <w:lang w:val="zh-CN" w:eastAsia="zh-CN"/>
        </w:rPr>
        <w:t>原因是：</w:t>
      </w:r>
      <w:r>
        <w:rPr>
          <w:rFonts w:hint="eastAsia" w:ascii="仿宋_GB2312" w:eastAsia="仿宋_GB2312"/>
          <w:sz w:val="32"/>
          <w:szCs w:val="32"/>
          <w:lang w:val="en-US" w:eastAsia="zh-CN"/>
        </w:rPr>
        <w:t>为满足2023年执法监察业务需要配备的日常执法车辆，</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sz w:val="32"/>
          <w:szCs w:val="32"/>
          <w:lang w:val="en-US" w:eastAsia="zh-CN"/>
        </w:rPr>
        <w:t>。</w:t>
      </w:r>
    </w:p>
    <w:p w14:paraId="0C06F2F0">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57F2F7A7">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w:t>
      </w:r>
      <w:r>
        <w:rPr>
          <w:rFonts w:hint="eastAsia" w:ascii="仿宋_GB2312" w:eastAsia="仿宋_GB2312"/>
          <w:color w:val="auto"/>
          <w:sz w:val="32"/>
          <w:szCs w:val="32"/>
          <w:highlight w:val="none"/>
          <w:lang w:val="zh-CN" w:eastAsia="zh-CN"/>
        </w:rPr>
        <w:t>财政拨款“三公”经费支出。其中：因公出国（境）费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公务用车运行费；公务接待费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公务接待费。</w:t>
      </w:r>
    </w:p>
    <w:p w14:paraId="49F6F9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32A1D04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209E478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36EA3AC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1204F7E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554862A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5168DA0E">
      <w:pPr>
        <w:keepNext w:val="0"/>
        <w:keepLines w:val="0"/>
        <w:pageBreakBefore w:val="0"/>
        <w:kinsoku/>
        <w:wordWrap/>
        <w:overflowPunct/>
        <w:topLinePunct w:val="0"/>
        <w:bidi w:val="0"/>
        <w:spacing w:line="240" w:lineRule="auto"/>
        <w:ind w:firstLine="640" w:firstLineChars="200"/>
        <w:jc w:val="both"/>
        <w:textAlignment w:val="auto"/>
        <w:outlineLvl w:val="2"/>
        <w:rPr>
          <w:rFonts w:ascii="黑体" w:hAnsi="黑体" w:eastAsia="黑体"/>
          <w:sz w:val="32"/>
          <w:szCs w:val="32"/>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额敏县国土资源执法监察大队（行政单位和参照公务员法管理事业单位）机关运行经费支出6.01万元，比上年增加0.22万元，增长3.78%,主要原因是：</w:t>
      </w:r>
      <w:r>
        <w:rPr>
          <w:rFonts w:hint="eastAsia" w:ascii="仿宋_GB2312" w:eastAsia="仿宋_GB2312"/>
          <w:sz w:val="32"/>
          <w:szCs w:val="32"/>
        </w:rPr>
        <w:t>我单位为</w:t>
      </w:r>
      <w:r>
        <w:rPr>
          <w:rFonts w:hint="eastAsia" w:ascii="仿宋_GB2312" w:eastAsia="仿宋_GB2312"/>
          <w:sz w:val="32"/>
          <w:szCs w:val="32"/>
          <w:lang w:val="en-US" w:eastAsia="zh-CN"/>
        </w:rPr>
        <w:t>提高执法监察效率，上级协调由自然资源局抽调2名干部，从团委申请1名西部志愿者到大队协助执法监察工作</w:t>
      </w:r>
      <w:r>
        <w:rPr>
          <w:rFonts w:hint="eastAsia" w:ascii="仿宋_GB2312" w:eastAsia="仿宋_GB2312"/>
          <w:sz w:val="32"/>
          <w:szCs w:val="32"/>
        </w:rPr>
        <w:t>，</w:t>
      </w:r>
      <w:r>
        <w:rPr>
          <w:rFonts w:hint="eastAsia" w:ascii="仿宋_GB2312" w:eastAsia="仿宋_GB2312"/>
          <w:sz w:val="32"/>
          <w:szCs w:val="32"/>
          <w:lang w:val="en-US" w:eastAsia="zh-CN"/>
        </w:rPr>
        <w:t>人员增加，因此办公耗材及办公用品</w:t>
      </w:r>
      <w:r>
        <w:rPr>
          <w:rFonts w:hint="eastAsia" w:ascii="仿宋_GB2312" w:eastAsia="仿宋_GB2312"/>
          <w:sz w:val="32"/>
          <w:szCs w:val="32"/>
        </w:rPr>
        <w:t>费用增加。</w:t>
      </w:r>
    </w:p>
    <w:p w14:paraId="310ADBC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1C7AF87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51A8B99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75CBDBB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34129CC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33.86</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屋0.0平方米，价值0.00万元。车辆1辆，价值17.74万元，其中：副部（省）级及以上领导用车0辆、主要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ascii="仿宋_GB2312" w:eastAsia="仿宋_GB2312"/>
          <w:sz w:val="32"/>
          <w:szCs w:val="32"/>
          <w:lang w:val="en-US" w:eastAsia="zh-CN"/>
        </w:rPr>
        <w:t>我单位无其他用车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1783C33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6F3E953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bookmarkStart w:id="48" w:name="_GoBack"/>
      <w:bookmarkEnd w:id="48"/>
      <w:r>
        <w:rPr>
          <w:rFonts w:hint="eastAsia" w:ascii="Times New Roman" w:hAnsi="Times New Roman" w:eastAsia="仿宋_GB2312" w:cs="Times New Roman"/>
          <w:color w:val="auto"/>
          <w:sz w:val="32"/>
          <w:szCs w:val="32"/>
          <w:highlight w:val="none"/>
          <w:lang w:val="zh-CN" w:eastAsia="zh-CN"/>
        </w:rPr>
        <w:t>。</w:t>
      </w:r>
    </w:p>
    <w:p w14:paraId="11667F20">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779AF2B8">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348592D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bookmarkStart w:id="30" w:name="_Toc3250"/>
      <w:bookmarkStart w:id="31" w:name="_Toc24143"/>
    </w:p>
    <w:p w14:paraId="516ABBB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14:paraId="7D7E36D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14:paraId="76E7ACF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14:paraId="328D53E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14:paraId="63DAFA1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14:paraId="2364329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14:paraId="1E079C6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14:paraId="277B251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14:paraId="7369462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14:paraId="7C43DC4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14:paraId="1272C7C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14:paraId="2433710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14:paraId="054BB46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14:paraId="3B67E33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14:paraId="16353C0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14:paraId="5F0658B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14:paraId="4253C03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14:paraId="60910A1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5D07E3A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4FC57A6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0E8E803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7385BE6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7C32147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44FD1F2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6104564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55A08B8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58657B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223B304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61EA735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0F9254B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51E26E6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77A00AFE">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07D7FFB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348B724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223239F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6545563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3A76289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7860468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59BBD20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371833E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414D03A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6E9AAD6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4B267921">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14:paraId="48FA080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E6A10">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ED68B9">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46ED68B9">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8673F0"/>
    <w:rsid w:val="02BD3108"/>
    <w:rsid w:val="02F73D26"/>
    <w:rsid w:val="034D4FEF"/>
    <w:rsid w:val="035D1785"/>
    <w:rsid w:val="03991DF6"/>
    <w:rsid w:val="039F47CE"/>
    <w:rsid w:val="03E05CE8"/>
    <w:rsid w:val="03F973EE"/>
    <w:rsid w:val="043E5B56"/>
    <w:rsid w:val="048A74FC"/>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81320B"/>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2F538E"/>
    <w:rsid w:val="0E640559"/>
    <w:rsid w:val="0ECB12E6"/>
    <w:rsid w:val="0F1113DA"/>
    <w:rsid w:val="0F78534A"/>
    <w:rsid w:val="0F89358A"/>
    <w:rsid w:val="0F8C6D51"/>
    <w:rsid w:val="105B0B5E"/>
    <w:rsid w:val="112E58D0"/>
    <w:rsid w:val="11731CAC"/>
    <w:rsid w:val="119500A0"/>
    <w:rsid w:val="11C0733B"/>
    <w:rsid w:val="11D50D17"/>
    <w:rsid w:val="120E0809"/>
    <w:rsid w:val="127F665A"/>
    <w:rsid w:val="12F7068C"/>
    <w:rsid w:val="14207DC0"/>
    <w:rsid w:val="146307EE"/>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DFE0346"/>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8C3E6A"/>
    <w:rsid w:val="2BB94DBF"/>
    <w:rsid w:val="2C6F314E"/>
    <w:rsid w:val="2CC206BE"/>
    <w:rsid w:val="2D1136DF"/>
    <w:rsid w:val="2D20606D"/>
    <w:rsid w:val="2DB87198"/>
    <w:rsid w:val="2DB93C54"/>
    <w:rsid w:val="2E285B38"/>
    <w:rsid w:val="2E3D144C"/>
    <w:rsid w:val="2E891204"/>
    <w:rsid w:val="2E9E0644"/>
    <w:rsid w:val="2F0A7391"/>
    <w:rsid w:val="2F3F0A28"/>
    <w:rsid w:val="2FBF7029"/>
    <w:rsid w:val="2FD0187F"/>
    <w:rsid w:val="2FD27414"/>
    <w:rsid w:val="2FFE4BB0"/>
    <w:rsid w:val="300E7B60"/>
    <w:rsid w:val="300F6E18"/>
    <w:rsid w:val="30862F5F"/>
    <w:rsid w:val="313709D9"/>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5347F9"/>
    <w:rsid w:val="398D3668"/>
    <w:rsid w:val="39DA0497"/>
    <w:rsid w:val="3A893816"/>
    <w:rsid w:val="3A893B6D"/>
    <w:rsid w:val="3AD1763A"/>
    <w:rsid w:val="3B6716E3"/>
    <w:rsid w:val="3B6C6B2D"/>
    <w:rsid w:val="3C242659"/>
    <w:rsid w:val="3C567805"/>
    <w:rsid w:val="3C96719C"/>
    <w:rsid w:val="3CA72BE8"/>
    <w:rsid w:val="3CF37F8C"/>
    <w:rsid w:val="3D137554"/>
    <w:rsid w:val="3D5275AC"/>
    <w:rsid w:val="3D567C46"/>
    <w:rsid w:val="3DCC2473"/>
    <w:rsid w:val="3DEB0883"/>
    <w:rsid w:val="3E2527BF"/>
    <w:rsid w:val="3E44734E"/>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111A4F"/>
    <w:rsid w:val="47445515"/>
    <w:rsid w:val="474B4782"/>
    <w:rsid w:val="477B2BD7"/>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C54E1A"/>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0A2A4E"/>
    <w:rsid w:val="56166703"/>
    <w:rsid w:val="56510474"/>
    <w:rsid w:val="56861525"/>
    <w:rsid w:val="56A93273"/>
    <w:rsid w:val="56BD550C"/>
    <w:rsid w:val="56E07045"/>
    <w:rsid w:val="56FF28AF"/>
    <w:rsid w:val="57540E7D"/>
    <w:rsid w:val="577B4878"/>
    <w:rsid w:val="57926973"/>
    <w:rsid w:val="58175352"/>
    <w:rsid w:val="581F2200"/>
    <w:rsid w:val="583059FA"/>
    <w:rsid w:val="584A0929"/>
    <w:rsid w:val="585D63F4"/>
    <w:rsid w:val="58CD2491"/>
    <w:rsid w:val="591B41B2"/>
    <w:rsid w:val="59254A26"/>
    <w:rsid w:val="59326325"/>
    <w:rsid w:val="595C505B"/>
    <w:rsid w:val="595E55C3"/>
    <w:rsid w:val="59651352"/>
    <w:rsid w:val="596E7E20"/>
    <w:rsid w:val="59A7239F"/>
    <w:rsid w:val="5A60780B"/>
    <w:rsid w:val="5AB34579"/>
    <w:rsid w:val="5AFC6609"/>
    <w:rsid w:val="5B113480"/>
    <w:rsid w:val="5BD456CE"/>
    <w:rsid w:val="5BF237BB"/>
    <w:rsid w:val="5C0D1F49"/>
    <w:rsid w:val="5CA86EF2"/>
    <w:rsid w:val="5CBB0CE2"/>
    <w:rsid w:val="5CC17177"/>
    <w:rsid w:val="5CF306BC"/>
    <w:rsid w:val="5D3F3D64"/>
    <w:rsid w:val="5D7B3CC2"/>
    <w:rsid w:val="5D833043"/>
    <w:rsid w:val="5DD92690"/>
    <w:rsid w:val="5DDB1CFD"/>
    <w:rsid w:val="5E7E6D93"/>
    <w:rsid w:val="5ED44800"/>
    <w:rsid w:val="5F350BDE"/>
    <w:rsid w:val="5F3C62DC"/>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4F04D4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DC0667C"/>
    <w:rsid w:val="6E0E35C4"/>
    <w:rsid w:val="6E0F7A08"/>
    <w:rsid w:val="6E3947F5"/>
    <w:rsid w:val="6E9C74ED"/>
    <w:rsid w:val="6EF72976"/>
    <w:rsid w:val="6F795A80"/>
    <w:rsid w:val="6F7C1D2E"/>
    <w:rsid w:val="6F8E0407"/>
    <w:rsid w:val="6FDD069F"/>
    <w:rsid w:val="702B4D16"/>
    <w:rsid w:val="70AA6621"/>
    <w:rsid w:val="71004146"/>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2B7048"/>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BB68E5"/>
    <w:rsid w:val="790A6425"/>
    <w:rsid w:val="790E2D96"/>
    <w:rsid w:val="791B54B2"/>
    <w:rsid w:val="795A0A34"/>
    <w:rsid w:val="797339C3"/>
    <w:rsid w:val="79D57D57"/>
    <w:rsid w:val="79F00650"/>
    <w:rsid w:val="7A6242BF"/>
    <w:rsid w:val="7A794513"/>
    <w:rsid w:val="7AE952D2"/>
    <w:rsid w:val="7C520339"/>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line="560" w:lineRule="exact"/>
      <w:ind w:firstLine="200" w:firstLineChars="200"/>
      <w:jc w:val="left"/>
      <w:outlineLvl w:val="1"/>
    </w:pPr>
    <w:rPr>
      <w:rFonts w:ascii="楷体" w:hAnsi="楷体" w:eastAsia="楷体" w:cs="Times New Roman"/>
      <w:bCs/>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5344</Words>
  <Characters>5926</Characters>
  <Lines>0</Lines>
  <Paragraphs>0</Paragraphs>
  <TotalTime>0</TotalTime>
  <ScaleCrop>false</ScaleCrop>
  <LinksUpToDate>false</LinksUpToDate>
  <CharactersWithSpaces>5948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2024-09-02T03:51:29Z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B6391FA5AFD24FA38F5941BB8686A732</vt:lpwstr>
  </property>
</Properties>
</file>