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A18AF8">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14:paraId="01203D3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2807662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和硕县国土资源执法监察大队</w:t>
      </w:r>
    </w:p>
    <w:p w14:paraId="116F31FE">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14:paraId="58A3C284">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14:paraId="14D97ED4">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17846E10">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5AA5720F">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6777355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22707B4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4A1712C0">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37329F3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5C0ED8F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6D5F3D3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58DA9E6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1419584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79AE5A3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50B4D05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1F0B2E1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56935D95">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46F5D60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22F0E6C5">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2DF64882">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1A3004C6">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7A86DFB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3882CDB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16ED31F0">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21EEAD3A">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55C02F0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7BB3B5E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6631234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6D6D235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3911508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3905F3D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2B5A512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460239C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577714E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7C437EEC">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73AAB584">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00A39F9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14:paraId="66F63AC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14:paraId="66D4212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sz w:val="32"/>
          <w:szCs w:val="32"/>
        </w:rPr>
      </w:pPr>
      <w:bookmarkStart w:id="4" w:name="_Toc31238"/>
      <w:bookmarkStart w:id="5" w:name="_Toc2151"/>
      <w:r>
        <w:rPr>
          <w:rFonts w:ascii="仿宋_GB2312" w:eastAsia="仿宋_GB2312"/>
          <w:sz w:val="32"/>
          <w:szCs w:val="32"/>
        </w:rPr>
        <w:t>和硕县国土资源执法监察大队，为副科级垂直管理单位，履行和硕县国土资源执法监察职能，是参照公务员法管理的事业单位。</w:t>
      </w:r>
      <w:r>
        <w:rPr>
          <w:rFonts w:ascii="仿宋_GB2312" w:eastAsia="仿宋_GB2312"/>
          <w:sz w:val="32"/>
          <w:szCs w:val="32"/>
        </w:rPr>
        <w:br w:type="textWrapping"/>
      </w:r>
      <w:r>
        <w:rPr>
          <w:rFonts w:ascii="仿宋_GB2312" w:eastAsia="仿宋_GB2312"/>
          <w:sz w:val="32"/>
          <w:szCs w:val="32"/>
        </w:rPr>
        <w:t>　　1、宣传和贯彻执行国家、自治区有关土地、矿产资源的法律、法规、规章和政策。</w:t>
      </w:r>
      <w:r>
        <w:rPr>
          <w:rFonts w:ascii="仿宋_GB2312" w:eastAsia="仿宋_GB2312"/>
          <w:sz w:val="32"/>
          <w:szCs w:val="32"/>
        </w:rPr>
        <w:br w:type="textWrapping"/>
      </w:r>
      <w:r>
        <w:rPr>
          <w:rFonts w:ascii="仿宋_GB2312" w:eastAsia="仿宋_GB2312"/>
          <w:sz w:val="32"/>
          <w:szCs w:val="32"/>
        </w:rPr>
        <w:t>　　2、组织和实施对本区域执行土地、矿产资源法律、法规、规章情况的巡查，及时发现和制止土地、矿产资源违法行为。</w:t>
      </w:r>
      <w:r>
        <w:rPr>
          <w:rFonts w:ascii="仿宋_GB2312" w:eastAsia="仿宋_GB2312"/>
          <w:sz w:val="32"/>
          <w:szCs w:val="32"/>
        </w:rPr>
        <w:br w:type="textWrapping"/>
      </w:r>
      <w:r>
        <w:rPr>
          <w:rFonts w:ascii="仿宋_GB2312" w:eastAsia="仿宋_GB2312"/>
          <w:sz w:val="32"/>
          <w:szCs w:val="32"/>
        </w:rPr>
        <w:t>　　3、依法组织和实施本区域土地、矿产资源违法案件的调查、取证、现场勘验工作，并进行查处。</w:t>
      </w:r>
      <w:r>
        <w:rPr>
          <w:rFonts w:ascii="仿宋_GB2312" w:eastAsia="仿宋_GB2312"/>
          <w:sz w:val="32"/>
          <w:szCs w:val="32"/>
        </w:rPr>
        <w:br w:type="textWrapping"/>
      </w:r>
      <w:r>
        <w:rPr>
          <w:rFonts w:ascii="仿宋_GB2312" w:eastAsia="仿宋_GB2312"/>
          <w:sz w:val="32"/>
          <w:szCs w:val="32"/>
        </w:rPr>
        <w:t>　　4、完成自治区国土资源执法监察总队和当地党委政府交办的其他工作</w:t>
      </w:r>
      <w:r>
        <w:rPr>
          <w:rFonts w:hint="eastAsia" w:ascii="仿宋_GB2312" w:eastAsia="仿宋_GB2312"/>
          <w:sz w:val="32"/>
          <w:szCs w:val="32"/>
        </w:rPr>
        <w:t>。</w:t>
      </w:r>
    </w:p>
    <w:p w14:paraId="27E3388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487AD26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和硕县国土资源执法监察大队</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4</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3</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1</w:t>
      </w:r>
      <w:r>
        <w:rPr>
          <w:rFonts w:hint="eastAsia" w:ascii="仿宋_GB2312" w:eastAsia="仿宋_GB2312"/>
          <w:color w:val="auto"/>
          <w:sz w:val="32"/>
          <w:szCs w:val="32"/>
          <w:highlight w:val="none"/>
        </w:rPr>
        <w:t>人。</w:t>
      </w:r>
    </w:p>
    <w:p w14:paraId="2A980F44">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kern w:val="0"/>
          <w:sz w:val="32"/>
          <w:szCs w:val="32"/>
        </w:r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1</w:t>
      </w:r>
      <w:r>
        <w:rPr>
          <w:rFonts w:hint="eastAsia" w:ascii="仿宋_GB2312" w:hAnsi="黑体" w:eastAsia="仿宋_GB2312" w:cs="宋体"/>
          <w:bCs/>
          <w:kern w:val="0"/>
          <w:sz w:val="32"/>
          <w:szCs w:val="32"/>
        </w:rPr>
        <w:t>个处室，分别是：综合办公</w:t>
      </w:r>
      <w:r>
        <w:rPr>
          <w:rFonts w:hint="eastAsia" w:ascii="仿宋_GB2312" w:hAnsi="黑体" w:eastAsia="仿宋_GB2312" w:cs="宋体"/>
          <w:bCs/>
          <w:kern w:val="0"/>
          <w:sz w:val="32"/>
          <w:szCs w:val="32"/>
          <w:lang w:eastAsia="zh-CN"/>
        </w:rPr>
        <w:t>室</w:t>
      </w:r>
      <w:r>
        <w:rPr>
          <w:rFonts w:hint="eastAsia" w:ascii="仿宋_GB2312" w:hAnsi="宋体" w:eastAsia="仿宋_GB2312" w:cs="宋体"/>
          <w:kern w:val="0"/>
          <w:sz w:val="32"/>
          <w:szCs w:val="32"/>
        </w:rPr>
        <w:t>。</w:t>
      </w:r>
    </w:p>
    <w:p w14:paraId="5524F6E2">
      <w:pPr>
        <w:keepNext w:val="0"/>
        <w:keepLines w:val="0"/>
        <w:pageBreakBefore w:val="0"/>
        <w:widowControl w:val="0"/>
        <w:kinsoku/>
        <w:wordWrap/>
        <w:overflowPunct/>
        <w:topLinePunct w:val="0"/>
        <w:bidi w:val="0"/>
        <w:adjustRightInd/>
        <w:snapToGrid/>
        <w:spacing w:line="240" w:lineRule="auto"/>
        <w:jc w:val="both"/>
        <w:textAlignment w:val="auto"/>
        <w:rPr>
          <w:rFonts w:hint="eastAsia" w:ascii="仿宋_GB2312" w:hAnsi="宋体" w:eastAsia="仿宋_GB2312" w:cs="宋体"/>
          <w:kern w:val="0"/>
          <w:sz w:val="32"/>
          <w:szCs w:val="32"/>
        </w:rPr>
      </w:pPr>
    </w:p>
    <w:p w14:paraId="548B1754">
      <w:pPr>
        <w:keepNext w:val="0"/>
        <w:keepLines w:val="0"/>
        <w:pageBreakBefore w:val="0"/>
        <w:widowControl w:val="0"/>
        <w:kinsoku/>
        <w:wordWrap/>
        <w:overflowPunct/>
        <w:topLinePunct w:val="0"/>
        <w:bidi w:val="0"/>
        <w:adjustRightInd/>
        <w:snapToGrid/>
        <w:spacing w:line="240" w:lineRule="auto"/>
        <w:jc w:val="both"/>
        <w:textAlignment w:val="auto"/>
        <w:rPr>
          <w:rFonts w:hint="eastAsia" w:ascii="仿宋_GB2312" w:hAnsi="宋体" w:eastAsia="仿宋_GB2312" w:cs="宋体"/>
          <w:kern w:val="0"/>
          <w:sz w:val="32"/>
          <w:szCs w:val="32"/>
        </w:rPr>
      </w:pPr>
    </w:p>
    <w:p w14:paraId="7EBCFDC9">
      <w:pPr>
        <w:keepNext w:val="0"/>
        <w:keepLines w:val="0"/>
        <w:pageBreakBefore w:val="0"/>
        <w:widowControl w:val="0"/>
        <w:kinsoku/>
        <w:wordWrap/>
        <w:overflowPunct/>
        <w:topLinePunct w:val="0"/>
        <w:bidi w:val="0"/>
        <w:adjustRightInd/>
        <w:snapToGrid/>
        <w:spacing w:line="240" w:lineRule="auto"/>
        <w:jc w:val="both"/>
        <w:textAlignment w:val="auto"/>
        <w:rPr>
          <w:rFonts w:hint="eastAsia" w:ascii="仿宋_GB2312" w:hAnsi="宋体" w:eastAsia="仿宋_GB2312" w:cs="宋体"/>
          <w:kern w:val="0"/>
          <w:sz w:val="32"/>
          <w:szCs w:val="32"/>
        </w:rPr>
      </w:pPr>
    </w:p>
    <w:p w14:paraId="3998DD4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29374"/>
      <w:bookmarkStart w:id="7" w:name="_Toc3092"/>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14:paraId="466072F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14:paraId="06D0BF8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111.18万元，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109.80万元，使用非财政拨款结余0.00万元，年初结转和结余1.38万元。</w:t>
      </w:r>
    </w:p>
    <w:p w14:paraId="145D197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111.18万元，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98.37万元，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0.00万元，年末结转和结余12.81万元。</w:t>
      </w:r>
    </w:p>
    <w:p w14:paraId="1E38236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增加13.83万元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增长14.20%</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调标增资、上年度年度考核奖经费追加，导致本年收入</w:t>
      </w:r>
      <w:r>
        <w:rPr>
          <w:rFonts w:hint="eastAsia" w:ascii="仿宋_GB2312" w:eastAsia="仿宋_GB2312"/>
          <w:sz w:val="32"/>
          <w:szCs w:val="32"/>
          <w:lang w:val="en-US" w:eastAsia="zh-CN"/>
        </w:rPr>
        <w:t>支出</w:t>
      </w:r>
      <w:r>
        <w:rPr>
          <w:rFonts w:hint="eastAsia" w:ascii="仿宋_GB2312" w:eastAsia="仿宋_GB2312"/>
          <w:sz w:val="32"/>
          <w:szCs w:val="32"/>
        </w:rPr>
        <w:t>增加</w:t>
      </w:r>
      <w:r>
        <w:rPr>
          <w:rFonts w:hint="eastAsia" w:ascii="仿宋_GB2312" w:eastAsia="仿宋_GB2312"/>
          <w:sz w:val="32"/>
          <w:szCs w:val="32"/>
          <w:lang w:eastAsia="zh-CN"/>
        </w:rPr>
        <w:t>。</w:t>
      </w:r>
    </w:p>
    <w:p w14:paraId="460635E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64ED281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109.80</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109.79</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99.99</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0.01</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0.01</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14:paraId="1D12C01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14:paraId="43E8AFD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本年支出98.37万元，其中：基本支出92.79万元，占94.33%；项目支出5.58万元，占5.67%；上缴上级支出0.00万元，占0.00%；经营支出0.00万元，占0.00%；对附属单位补助支出0.00万元，占0.00%。</w:t>
      </w:r>
    </w:p>
    <w:p w14:paraId="59E8AFE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335C562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110.98</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1.19</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109.79</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110.98</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12.61</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98.37</w:t>
      </w:r>
      <w:r>
        <w:rPr>
          <w:rFonts w:hint="eastAsia" w:ascii="仿宋_GB2312" w:eastAsia="仿宋_GB2312"/>
          <w:color w:val="auto"/>
          <w:spacing w:val="0"/>
          <w:sz w:val="32"/>
          <w:szCs w:val="32"/>
          <w:highlight w:val="none"/>
          <w:lang w:eastAsia="zh-CN"/>
        </w:rPr>
        <w:t>万元。</w:t>
      </w:r>
    </w:p>
    <w:p w14:paraId="72890EE4">
      <w:pPr>
        <w:ind w:firstLine="640" w:firstLineChars="200"/>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增加13.81万元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增长14.21%，</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调标增资、上年度年度考核奖经费追加，导致本年收入</w:t>
      </w:r>
      <w:r>
        <w:rPr>
          <w:rFonts w:hint="eastAsia" w:ascii="仿宋_GB2312" w:eastAsia="仿宋_GB2312"/>
          <w:sz w:val="32"/>
          <w:szCs w:val="32"/>
          <w:lang w:val="en-US" w:eastAsia="zh-CN"/>
        </w:rPr>
        <w:t>支出</w:t>
      </w:r>
      <w:r>
        <w:rPr>
          <w:rFonts w:hint="eastAsia" w:ascii="仿宋_GB2312" w:eastAsia="仿宋_GB2312"/>
          <w:sz w:val="32"/>
          <w:szCs w:val="32"/>
        </w:rPr>
        <w:t>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94.13</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110.98</w:t>
      </w:r>
      <w:r>
        <w:rPr>
          <w:rFonts w:hint="eastAsia" w:ascii="仿宋_GB2312" w:eastAsia="仿宋_GB2312"/>
          <w:color w:val="auto"/>
          <w:spacing w:val="0"/>
          <w:sz w:val="32"/>
          <w:szCs w:val="32"/>
          <w:highlight w:val="none"/>
          <w:lang w:eastAsia="zh-CN"/>
        </w:rPr>
        <w:t>万元，预决算差异率17.90%，主要原因是：</w:t>
      </w:r>
      <w:r>
        <w:rPr>
          <w:rFonts w:hint="eastAsia" w:ascii="仿宋_GB2312" w:eastAsia="仿宋_GB2312"/>
          <w:sz w:val="32"/>
          <w:szCs w:val="32"/>
        </w:rPr>
        <w:t>调标增资、上年度年度考核奖经费追加</w:t>
      </w:r>
      <w:r>
        <w:rPr>
          <w:rFonts w:hint="eastAsia" w:ascii="仿宋_GB2312" w:eastAsia="仿宋_GB2312"/>
          <w:sz w:val="32"/>
          <w:szCs w:val="32"/>
          <w:lang w:eastAsia="zh-CN"/>
        </w:rPr>
        <w:t>，</w:t>
      </w:r>
      <w:r>
        <w:rPr>
          <w:rFonts w:hint="eastAsia" w:ascii="仿宋_GB2312" w:eastAsia="仿宋_GB2312"/>
          <w:sz w:val="32"/>
          <w:szCs w:val="32"/>
        </w:rPr>
        <w:t>导致预决算出现差异。</w:t>
      </w:r>
    </w:p>
    <w:p w14:paraId="6B5F4A6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14:paraId="513F69C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4F715B2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2023年度一般公共预算财政拨款支出98.37万元，占本年支出合计的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增加2.39万元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增长2.49%，</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调标增资、上年度年度考核奖经费追加，导致本年</w:t>
      </w:r>
      <w:r>
        <w:rPr>
          <w:rFonts w:hint="eastAsia" w:ascii="仿宋_GB2312" w:eastAsia="仿宋_GB2312"/>
          <w:sz w:val="32"/>
          <w:szCs w:val="32"/>
          <w:lang w:val="en-US" w:eastAsia="zh-CN"/>
        </w:rPr>
        <w:t>支出</w:t>
      </w:r>
      <w:r>
        <w:rPr>
          <w:rFonts w:hint="eastAsia" w:ascii="仿宋_GB2312" w:eastAsia="仿宋_GB2312"/>
          <w:sz w:val="32"/>
          <w:szCs w:val="32"/>
        </w:rPr>
        <w:t>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94.13</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98.37</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4.51%</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调标增资、上年度年度考核奖经费追加</w:t>
      </w:r>
      <w:r>
        <w:rPr>
          <w:rFonts w:hint="eastAsia" w:ascii="仿宋_GB2312" w:eastAsia="仿宋_GB2312"/>
          <w:sz w:val="32"/>
          <w:szCs w:val="32"/>
          <w:lang w:eastAsia="zh-CN"/>
        </w:rPr>
        <w:t>，</w:t>
      </w:r>
      <w:r>
        <w:rPr>
          <w:rFonts w:hint="eastAsia" w:ascii="仿宋_GB2312" w:eastAsia="仿宋_GB2312"/>
          <w:sz w:val="32"/>
          <w:szCs w:val="32"/>
        </w:rPr>
        <w:t>导致预决算出现差异。</w:t>
      </w:r>
    </w:p>
    <w:p w14:paraId="758648E1">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66A6ECE6">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lang w:val="zh-CN"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16.56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16.84</w:t>
      </w:r>
      <w:r>
        <w:rPr>
          <w:rFonts w:hint="default" w:ascii="仿宋_GB2312" w:hAnsi="Times New Roman" w:eastAsia="仿宋_GB2312" w:cs="Times New Roman"/>
          <w:color w:val="auto"/>
          <w:spacing w:val="0"/>
          <w:kern w:val="2"/>
          <w:sz w:val="32"/>
          <w:szCs w:val="32"/>
          <w:highlight w:val="none"/>
          <w:lang w:val="zh-CN" w:eastAsia="zh-CN" w:bidi="ar-SA"/>
        </w:rPr>
        <w:t>%；</w:t>
      </w:r>
    </w:p>
    <w:p w14:paraId="6D1A57AA">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7.43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7.55</w:t>
      </w:r>
      <w:r>
        <w:rPr>
          <w:rFonts w:hint="default" w:ascii="仿宋_GB2312" w:hAnsi="Times New Roman" w:eastAsia="仿宋_GB2312" w:cs="Times New Roman"/>
          <w:color w:val="auto"/>
          <w:spacing w:val="0"/>
          <w:kern w:val="2"/>
          <w:sz w:val="32"/>
          <w:szCs w:val="32"/>
          <w:highlight w:val="none"/>
          <w:lang w:val="zh-CN" w:eastAsia="zh-CN" w:bidi="ar-SA"/>
        </w:rPr>
        <w:t>%；</w:t>
      </w:r>
    </w:p>
    <w:p w14:paraId="771D9E36">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仿宋_GB2312" w:hAnsi="Times New Roman" w:eastAsia="仿宋_GB2312" w:cs="Times New Roman"/>
          <w:color w:val="auto"/>
          <w:spacing w:val="0"/>
          <w:kern w:val="2"/>
          <w:sz w:val="32"/>
          <w:szCs w:val="32"/>
          <w:highlight w:val="none"/>
          <w:lang w:val="zh-CN" w:eastAsia="zh-CN" w:bidi="ar-SA"/>
        </w:rPr>
        <w:t>68.47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69.61</w:t>
      </w:r>
      <w:r>
        <w:rPr>
          <w:rFonts w:hint="default" w:ascii="仿宋_GB2312" w:hAnsi="Times New Roman" w:eastAsia="仿宋_GB2312" w:cs="Times New Roman"/>
          <w:color w:val="auto"/>
          <w:spacing w:val="0"/>
          <w:kern w:val="2"/>
          <w:sz w:val="32"/>
          <w:szCs w:val="32"/>
          <w:highlight w:val="none"/>
          <w:lang w:val="zh-CN" w:eastAsia="zh-CN" w:bidi="ar-SA"/>
        </w:rPr>
        <w:t>%；</w:t>
      </w:r>
    </w:p>
    <w:p w14:paraId="2A000E5C">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snapToGrid/>
        <w:spacing w:before="0" w:beforeAutospacing="0" w:after="0" w:afterAutospacing="0"/>
        <w:ind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en-US"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5.91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6.01</w:t>
      </w:r>
      <w:r>
        <w:rPr>
          <w:rFonts w:hint="default" w:ascii="仿宋_GB2312" w:hAnsi="Times New Roman" w:eastAsia="仿宋_GB2312" w:cs="Times New Roman"/>
          <w:color w:val="auto"/>
          <w:spacing w:val="0"/>
          <w:kern w:val="2"/>
          <w:sz w:val="32"/>
          <w:szCs w:val="32"/>
          <w:highlight w:val="none"/>
          <w:lang w:val="zh-CN" w:eastAsia="zh-CN" w:bidi="ar-SA"/>
        </w:rPr>
        <w:t>%</w:t>
      </w:r>
      <w:r>
        <w:rPr>
          <w:rFonts w:hint="eastAsia" w:ascii="仿宋_GB2312" w:eastAsia="仿宋_GB2312" w:cs="Times New Roman"/>
          <w:color w:val="auto"/>
          <w:spacing w:val="0"/>
          <w:kern w:val="2"/>
          <w:sz w:val="32"/>
          <w:szCs w:val="32"/>
          <w:highlight w:val="none"/>
          <w:lang w:val="zh-CN" w:eastAsia="zh-CN" w:bidi="ar-SA"/>
        </w:rPr>
        <w:t>。</w:t>
      </w:r>
    </w:p>
    <w:p w14:paraId="3FC7AF3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14:paraId="10BCE8FF">
      <w:pPr>
        <w:ind w:firstLine="640" w:firstLineChars="200"/>
        <w:outlineLvl w:val="1"/>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1.卫生健康支出（类）行政事业单位医疗（款）行政单位医疗（项）:支出决算数为3.98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0.58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17.10%，主要原因是：</w:t>
      </w:r>
      <w:r>
        <w:rPr>
          <w:rFonts w:hint="eastAsia" w:ascii="仿宋_GB2312" w:eastAsia="仿宋_GB2312"/>
          <w:sz w:val="32"/>
          <w:szCs w:val="32"/>
        </w:rPr>
        <w:t>年度行政单位医疗缴费基数上调，导致缴费增加。</w:t>
      </w:r>
    </w:p>
    <w:p w14:paraId="3CA29B6B">
      <w:pPr>
        <w:ind w:firstLine="640" w:firstLineChars="200"/>
        <w:outlineLvl w:val="1"/>
        <w:rPr>
          <w:rFonts w:ascii="黑体" w:hAnsi="黑体" w:eastAsia="黑体" w:cs="宋体"/>
          <w:bCs/>
          <w:kern w:val="0"/>
          <w:sz w:val="32"/>
          <w:szCs w:val="32"/>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2.卫生健康支出（类）行政事业单位医疗（款）公务员医疗补助（项）:支出决算数为3.45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0.81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30.49%，主要原因是：</w:t>
      </w:r>
      <w:r>
        <w:rPr>
          <w:rFonts w:hint="eastAsia" w:ascii="仿宋_GB2312" w:eastAsia="仿宋_GB2312"/>
          <w:sz w:val="32"/>
          <w:szCs w:val="32"/>
        </w:rPr>
        <w:t>年度公务员医疗补助缴费基数上调，导致缴费增加。</w:t>
      </w:r>
    </w:p>
    <w:p w14:paraId="0D616EF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3.自然资源海洋气象等支出（类）自然资源事务（款）其他自然资源事务支出（项）:支出决算数为5.58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13.18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70.25%，主要原因是：</w:t>
      </w:r>
      <w:r>
        <w:rPr>
          <w:rFonts w:hint="eastAsia" w:ascii="仿宋_GB2312" w:eastAsia="仿宋_GB2312"/>
          <w:sz w:val="32"/>
          <w:szCs w:val="32"/>
        </w:rPr>
        <w:t>执法办案业务量减少，项目经费支出减少。</w:t>
      </w:r>
    </w:p>
    <w:p w14:paraId="7435ED4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4.自然资源海洋气象等支出（类）自然资源事务（款）行政运行（项）:支出决算数为62.89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2.70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4.49%，主要原因是：</w:t>
      </w:r>
      <w:r>
        <w:rPr>
          <w:rFonts w:hint="eastAsia" w:ascii="仿宋_GB2312" w:eastAsia="仿宋_GB2312"/>
          <w:sz w:val="32"/>
          <w:szCs w:val="32"/>
        </w:rPr>
        <w:t>调标增资、上年度年度考核奖支出增加。</w:t>
      </w:r>
    </w:p>
    <w:p w14:paraId="79E5C363">
      <w:pPr>
        <w:ind w:firstLine="640" w:firstLineChars="200"/>
        <w:outlineLvl w:val="1"/>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5.住房保障支出（类）住房改革支出（款）住房公积金（项）:支出决算数为5.91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1.20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25.49%，主要原因是：</w:t>
      </w:r>
      <w:r>
        <w:rPr>
          <w:rFonts w:hint="eastAsia" w:ascii="仿宋_GB2312" w:eastAsia="仿宋_GB2312"/>
          <w:sz w:val="32"/>
          <w:szCs w:val="32"/>
        </w:rPr>
        <w:t>住房公积金缴费基数上调，导致缴费增加。</w:t>
      </w:r>
    </w:p>
    <w:p w14:paraId="6E01FAA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6.社会保障和就业支出（类）行政事业单位养老支出（款）行政单位离退休（项）:支出决算数为1.44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1.44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w:t>
      </w:r>
      <w:r>
        <w:rPr>
          <w:rFonts w:hint="eastAsia" w:eastAsia="仿宋_GB2312" w:cs="Times New Roman"/>
          <w:color w:val="auto"/>
          <w:kern w:val="2"/>
          <w:sz w:val="32"/>
          <w:szCs w:val="32"/>
          <w:highlight w:val="none"/>
          <w:lang w:val="en-US" w:eastAsia="zh-CN" w:bidi="ar-SA"/>
        </w:rPr>
        <w:t>.00</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本年度新增1名退休人员，</w:t>
      </w:r>
      <w:r>
        <w:rPr>
          <w:rFonts w:hint="eastAsia" w:ascii="Times New Roman" w:hAnsi="Times New Roman" w:eastAsia="仿宋_GB2312" w:cs="Times New Roman"/>
          <w:color w:val="auto"/>
          <w:kern w:val="2"/>
          <w:sz w:val="32"/>
          <w:szCs w:val="32"/>
          <w:highlight w:val="none"/>
          <w:lang w:val="en-US" w:eastAsia="zh-CN" w:bidi="ar-SA"/>
        </w:rPr>
        <w:t>行政单位离退休</w:t>
      </w:r>
      <w:r>
        <w:rPr>
          <w:rFonts w:hint="eastAsia" w:eastAsia="仿宋_GB2312" w:cs="Times New Roman"/>
          <w:color w:val="auto"/>
          <w:kern w:val="2"/>
          <w:sz w:val="32"/>
          <w:szCs w:val="32"/>
          <w:highlight w:val="none"/>
          <w:lang w:val="en-US" w:eastAsia="zh-CN" w:bidi="ar-SA"/>
        </w:rPr>
        <w:t>支出增加。</w:t>
      </w:r>
    </w:p>
    <w:p w14:paraId="1590167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7.社会保障和就业支出（类）行政事业单位养老支出（款）机关事业单位职业年金缴费支出（项）:支出决算数为7.24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7.24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w:t>
      </w:r>
      <w:r>
        <w:rPr>
          <w:rFonts w:hint="eastAsia" w:eastAsia="仿宋_GB2312" w:cs="Times New Roman"/>
          <w:color w:val="auto"/>
          <w:kern w:val="2"/>
          <w:sz w:val="32"/>
          <w:szCs w:val="32"/>
          <w:highlight w:val="none"/>
          <w:lang w:val="en-US" w:eastAsia="zh-CN" w:bidi="ar-SA"/>
        </w:rPr>
        <w:t>.00</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本年度新增1名退休人员，</w:t>
      </w:r>
      <w:r>
        <w:rPr>
          <w:rFonts w:hint="eastAsia" w:ascii="Times New Roman" w:hAnsi="Times New Roman" w:eastAsia="仿宋_GB2312" w:cs="Times New Roman"/>
          <w:color w:val="auto"/>
          <w:kern w:val="2"/>
          <w:sz w:val="32"/>
          <w:szCs w:val="32"/>
          <w:highlight w:val="none"/>
          <w:lang w:val="en-US" w:eastAsia="zh-CN" w:bidi="ar-SA"/>
        </w:rPr>
        <w:t>职业年金缴费</w:t>
      </w:r>
      <w:r>
        <w:rPr>
          <w:rFonts w:hint="eastAsia" w:eastAsia="仿宋_GB2312" w:cs="Times New Roman"/>
          <w:color w:val="auto"/>
          <w:kern w:val="2"/>
          <w:sz w:val="32"/>
          <w:szCs w:val="32"/>
          <w:highlight w:val="none"/>
          <w:lang w:val="en-US" w:eastAsia="zh-CN" w:bidi="ar-SA"/>
        </w:rPr>
        <w:t>增加。</w:t>
      </w:r>
    </w:p>
    <w:p w14:paraId="68387E0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8.社会保障和就业支出（类）行政事业单位养老支出（款）机关事业单位基本养老保险缴费支出（项）:支出决算数为7.88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1.60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25.49%，主要原因是：</w:t>
      </w:r>
      <w:r>
        <w:rPr>
          <w:rFonts w:hint="eastAsia" w:ascii="仿宋_GB2312" w:eastAsia="仿宋_GB2312"/>
          <w:sz w:val="32"/>
          <w:szCs w:val="32"/>
        </w:rPr>
        <w:t>年度机关事业单位基本养老保险缴费基数上调，导致缴费增加。</w:t>
      </w:r>
    </w:p>
    <w:p w14:paraId="5BF2FA5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4608A079">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92.79</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88.05</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伙食补助费、机关事业单位基本养老保险缴费、职业年金缴费、职工基本医疗保险缴费、公务员医疗补助缴费、其他社会保障缴费、住房公积金、其他工资福利支出、退休费、其他对个人和家庭的补助。</w:t>
      </w:r>
    </w:p>
    <w:p w14:paraId="56956862">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4.73</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办公费、邮电费、差旅费、工会经费、福利费、其他交通费用。</w:t>
      </w:r>
    </w:p>
    <w:p w14:paraId="0A52840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7848B946">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增加0.00万元，增长0.00%，主要原因是：</w:t>
      </w:r>
      <w:r>
        <w:rPr>
          <w:rFonts w:ascii="仿宋_GB2312" w:eastAsia="仿宋_GB2312"/>
          <w:sz w:val="32"/>
          <w:szCs w:val="32"/>
        </w:rPr>
        <w:t>我单位无财政拨款“三公”经费支出</w:t>
      </w:r>
      <w:r>
        <w:rPr>
          <w:rFonts w:hint="eastAsia" w:ascii="仿宋_GB2312" w:eastAsia="仿宋_GB2312"/>
          <w:sz w:val="32"/>
          <w:szCs w:val="32"/>
        </w:rPr>
        <w:t>。其中：因公出国（境）费支出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%，比上年</w:t>
      </w:r>
      <w:r>
        <w:rPr>
          <w:rFonts w:ascii="仿宋_GB2312" w:eastAsia="仿宋_GB2312"/>
          <w:sz w:val="32"/>
          <w:szCs w:val="32"/>
        </w:rPr>
        <w:t>增加0.00</w:t>
      </w:r>
      <w:r>
        <w:rPr>
          <w:rFonts w:hint="eastAsia" w:ascii="仿宋_GB2312" w:eastAsia="仿宋_GB2312"/>
          <w:sz w:val="32"/>
          <w:szCs w:val="32"/>
        </w:rPr>
        <w:t>万元，</w:t>
      </w:r>
      <w:r>
        <w:rPr>
          <w:rFonts w:ascii="仿宋_GB2312" w:eastAsia="仿宋_GB2312"/>
          <w:sz w:val="32"/>
          <w:szCs w:val="32"/>
        </w:rPr>
        <w:t>增长0.00</w:t>
      </w:r>
      <w:r>
        <w:rPr>
          <w:rFonts w:hint="eastAsia" w:ascii="仿宋_GB2312" w:eastAsia="仿宋_GB2312"/>
          <w:sz w:val="32"/>
          <w:szCs w:val="32"/>
        </w:rPr>
        <w:t>%，主要原因是：</w:t>
      </w:r>
      <w:r>
        <w:rPr>
          <w:rFonts w:ascii="仿宋_GB2312" w:eastAsia="仿宋_GB2312"/>
          <w:sz w:val="32"/>
          <w:szCs w:val="32"/>
        </w:rPr>
        <w:t>我单位无因公出国（境）费</w:t>
      </w:r>
      <w:r>
        <w:rPr>
          <w:rFonts w:hint="eastAsia" w:ascii="仿宋_GB2312" w:eastAsia="仿宋_GB2312"/>
          <w:sz w:val="32"/>
          <w:szCs w:val="32"/>
        </w:rPr>
        <w:t>；公务用车购置及运行维护费支出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%，比上年</w:t>
      </w:r>
      <w:r>
        <w:rPr>
          <w:rFonts w:ascii="仿宋_GB2312" w:eastAsia="仿宋_GB2312"/>
          <w:sz w:val="32"/>
          <w:szCs w:val="32"/>
        </w:rPr>
        <w:t>增加0.00</w:t>
      </w:r>
      <w:r>
        <w:rPr>
          <w:rFonts w:hint="eastAsia" w:ascii="仿宋_GB2312" w:eastAsia="仿宋_GB2312"/>
          <w:sz w:val="32"/>
          <w:szCs w:val="32"/>
        </w:rPr>
        <w:t>万元，</w:t>
      </w:r>
      <w:r>
        <w:rPr>
          <w:rFonts w:ascii="仿宋_GB2312" w:eastAsia="仿宋_GB2312"/>
          <w:sz w:val="32"/>
          <w:szCs w:val="32"/>
        </w:rPr>
        <w:t>增长0.00</w:t>
      </w:r>
      <w:r>
        <w:rPr>
          <w:rFonts w:hint="eastAsia" w:ascii="仿宋_GB2312" w:eastAsia="仿宋_GB2312"/>
          <w:sz w:val="32"/>
          <w:szCs w:val="32"/>
        </w:rPr>
        <w:t>%，主要原因是：</w:t>
      </w:r>
      <w:r>
        <w:rPr>
          <w:rFonts w:ascii="仿宋_GB2312" w:eastAsia="仿宋_GB2312"/>
          <w:sz w:val="32"/>
          <w:szCs w:val="32"/>
        </w:rPr>
        <w:t>我单位无公务用车购置及运行维护费</w:t>
      </w:r>
      <w:r>
        <w:rPr>
          <w:rFonts w:hint="eastAsia" w:ascii="仿宋_GB2312" w:eastAsia="仿宋_GB2312"/>
          <w:sz w:val="32"/>
          <w:szCs w:val="32"/>
        </w:rPr>
        <w:t>；公务接待费支出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%，比上年</w:t>
      </w:r>
      <w:r>
        <w:rPr>
          <w:rFonts w:ascii="仿宋_GB2312" w:eastAsia="仿宋_GB2312"/>
          <w:sz w:val="32"/>
          <w:szCs w:val="32"/>
        </w:rPr>
        <w:t>增加0.00</w:t>
      </w:r>
      <w:r>
        <w:rPr>
          <w:rFonts w:hint="eastAsia" w:ascii="仿宋_GB2312" w:eastAsia="仿宋_GB2312"/>
          <w:sz w:val="32"/>
          <w:szCs w:val="32"/>
        </w:rPr>
        <w:t>万元，</w:t>
      </w:r>
      <w:r>
        <w:rPr>
          <w:rFonts w:ascii="仿宋_GB2312" w:eastAsia="仿宋_GB2312"/>
          <w:sz w:val="32"/>
          <w:szCs w:val="32"/>
        </w:rPr>
        <w:t>增长0.00</w:t>
      </w:r>
      <w:r>
        <w:rPr>
          <w:rFonts w:hint="eastAsia" w:ascii="仿宋_GB2312" w:eastAsia="仿宋_GB2312"/>
          <w:sz w:val="32"/>
          <w:szCs w:val="32"/>
        </w:rPr>
        <w:t>%，主要原因是：</w:t>
      </w:r>
      <w:r>
        <w:rPr>
          <w:rFonts w:ascii="仿宋_GB2312" w:eastAsia="仿宋_GB2312"/>
          <w:sz w:val="32"/>
          <w:szCs w:val="32"/>
        </w:rPr>
        <w:t>我单位无公务接待费</w:t>
      </w:r>
      <w:r>
        <w:rPr>
          <w:rFonts w:hint="eastAsia" w:ascii="仿宋_GB2312" w:eastAsia="仿宋_GB2312"/>
          <w:sz w:val="32"/>
          <w:szCs w:val="32"/>
        </w:rPr>
        <w:t>。</w:t>
      </w:r>
      <w:r>
        <w:rPr>
          <w:rFonts w:hint="eastAsia" w:ascii="仿宋_GB2312" w:eastAsia="仿宋_GB2312"/>
          <w:color w:val="auto"/>
          <w:sz w:val="32"/>
          <w:szCs w:val="32"/>
          <w:highlight w:val="none"/>
          <w:lang w:val="zh-CN" w:eastAsia="zh-CN"/>
        </w:rPr>
        <w:t>具体情况如下：</w:t>
      </w:r>
    </w:p>
    <w:p w14:paraId="48254390">
      <w:pPr>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0.00</w:t>
      </w:r>
      <w:r>
        <w:rPr>
          <w:rFonts w:hint="eastAsia" w:ascii="仿宋_GB2312" w:eastAsia="仿宋_GB2312"/>
          <w:sz w:val="32"/>
          <w:szCs w:val="32"/>
        </w:rPr>
        <w:t>万元，开支内容包括我单位无因公出国（境）费。单位全年安排的因公出国（境）团组</w:t>
      </w:r>
      <w:r>
        <w:rPr>
          <w:rFonts w:ascii="仿宋_GB2312" w:eastAsia="仿宋_GB2312"/>
          <w:sz w:val="32"/>
          <w:szCs w:val="32"/>
        </w:rPr>
        <w:t>0</w:t>
      </w:r>
      <w:r>
        <w:rPr>
          <w:rFonts w:hint="eastAsia" w:ascii="仿宋_GB2312" w:eastAsia="仿宋_GB2312"/>
          <w:sz w:val="32"/>
          <w:szCs w:val="32"/>
        </w:rPr>
        <w:t>个，因公出国（境）0人次。</w:t>
      </w:r>
    </w:p>
    <w:p w14:paraId="278547C1">
      <w:pPr>
        <w:ind w:firstLine="640" w:firstLineChars="200"/>
        <w:rPr>
          <w:rFonts w:hint="eastAsia" w:ascii="仿宋_GB2312" w:eastAsia="仿宋_GB2312"/>
          <w:color w:val="auto"/>
          <w:sz w:val="32"/>
          <w:szCs w:val="32"/>
          <w:highlight w:val="none"/>
          <w:lang w:val="en-US" w:eastAsia="zh-CN"/>
        </w:rPr>
      </w:pPr>
      <w:r>
        <w:rPr>
          <w:rFonts w:hint="eastAsia" w:ascii="仿宋_GB2312" w:eastAsia="仿宋_GB2312"/>
          <w:sz w:val="32"/>
          <w:szCs w:val="32"/>
        </w:rPr>
        <w:t>公务用车购置及运行维护费</w:t>
      </w:r>
      <w:r>
        <w:rPr>
          <w:rFonts w:ascii="仿宋_GB2312" w:eastAsia="仿宋_GB2312"/>
          <w:sz w:val="32"/>
          <w:szCs w:val="32"/>
        </w:rPr>
        <w:t>0.00</w:t>
      </w:r>
      <w:r>
        <w:rPr>
          <w:rFonts w:hint="eastAsia" w:ascii="仿宋_GB2312" w:eastAsia="仿宋_GB2312"/>
          <w:sz w:val="32"/>
          <w:szCs w:val="32"/>
        </w:rPr>
        <w:t>万元，其中：公务用车购置费</w:t>
      </w:r>
      <w:r>
        <w:rPr>
          <w:rFonts w:ascii="仿宋_GB2312" w:eastAsia="仿宋_GB2312"/>
          <w:sz w:val="32"/>
          <w:szCs w:val="32"/>
        </w:rPr>
        <w:t>0.00</w:t>
      </w:r>
      <w:r>
        <w:rPr>
          <w:rFonts w:hint="eastAsia" w:ascii="仿宋_GB2312" w:eastAsia="仿宋_GB2312"/>
          <w:sz w:val="32"/>
          <w:szCs w:val="32"/>
        </w:rPr>
        <w:t>万元，公务用车运行维护费</w:t>
      </w:r>
      <w:r>
        <w:rPr>
          <w:rFonts w:ascii="仿宋_GB2312" w:eastAsia="仿宋_GB2312"/>
          <w:sz w:val="32"/>
          <w:szCs w:val="32"/>
        </w:rPr>
        <w:t>0.00</w:t>
      </w:r>
      <w:r>
        <w:rPr>
          <w:rFonts w:hint="eastAsia" w:ascii="仿宋_GB2312" w:eastAsia="仿宋_GB2312"/>
          <w:sz w:val="32"/>
          <w:szCs w:val="32"/>
        </w:rPr>
        <w:t>万元。公务用车运行维护费开支内容包括我单位无公务用车运行维护费。公务用车购置数</w:t>
      </w:r>
      <w:r>
        <w:rPr>
          <w:rFonts w:ascii="仿宋_GB2312" w:eastAsia="仿宋_GB2312"/>
          <w:sz w:val="32"/>
          <w:szCs w:val="32"/>
        </w:rPr>
        <w:t>0</w:t>
      </w:r>
      <w:r>
        <w:rPr>
          <w:rFonts w:hint="eastAsia" w:ascii="仿宋_GB2312" w:eastAsia="仿宋_GB2312"/>
          <w:sz w:val="32"/>
          <w:szCs w:val="32"/>
        </w:rPr>
        <w:t>辆，公务用车保有量0辆。</w:t>
      </w:r>
      <w:r>
        <w:rPr>
          <w:rFonts w:hint="eastAsia" w:ascii="仿宋_GB2312" w:eastAsia="仿宋_GB2312"/>
          <w:color w:val="auto"/>
          <w:sz w:val="32"/>
          <w:szCs w:val="32"/>
          <w:highlight w:val="none"/>
          <w:lang w:val="zh-CN" w:eastAsia="zh-CN"/>
        </w:rPr>
        <w:t>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2辆，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我单位车辆为执法执勤用车和后勤车辆，不属于公务用车，使用其他交通费，支付燃油及维修费</w:t>
      </w:r>
      <w:r>
        <w:rPr>
          <w:rFonts w:hint="eastAsia" w:ascii="仿宋_GB2312" w:eastAsia="仿宋_GB2312"/>
          <w:color w:val="auto"/>
          <w:sz w:val="32"/>
          <w:szCs w:val="32"/>
          <w:highlight w:val="none"/>
          <w:lang w:val="zh-CN" w:eastAsia="zh-CN"/>
        </w:rPr>
        <w:t>。</w:t>
      </w:r>
    </w:p>
    <w:p w14:paraId="431215B0">
      <w:pPr>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0.00</w:t>
      </w:r>
      <w:r>
        <w:rPr>
          <w:rFonts w:hint="eastAsia" w:ascii="仿宋_GB2312" w:eastAsia="仿宋_GB2312"/>
          <w:sz w:val="32"/>
          <w:szCs w:val="32"/>
        </w:rPr>
        <w:t>万元，开支内容包括我单位无公务接待费。单位全年安排的国内公务接待</w:t>
      </w:r>
      <w:r>
        <w:rPr>
          <w:rFonts w:ascii="仿宋_GB2312" w:eastAsia="仿宋_GB2312"/>
          <w:sz w:val="32"/>
          <w:szCs w:val="32"/>
        </w:rPr>
        <w:t>0</w:t>
      </w:r>
      <w:r>
        <w:rPr>
          <w:rFonts w:hint="eastAsia" w:ascii="仿宋_GB2312" w:eastAsia="仿宋_GB2312"/>
          <w:sz w:val="32"/>
          <w:szCs w:val="32"/>
        </w:rPr>
        <w:t>批次，</w:t>
      </w:r>
      <w:r>
        <w:rPr>
          <w:rFonts w:ascii="仿宋_GB2312" w:eastAsia="仿宋_GB2312"/>
          <w:sz w:val="32"/>
          <w:szCs w:val="32"/>
        </w:rPr>
        <w:t>0</w:t>
      </w:r>
      <w:r>
        <w:rPr>
          <w:rFonts w:hint="eastAsia" w:ascii="仿宋_GB2312" w:eastAsia="仿宋_GB2312"/>
          <w:sz w:val="32"/>
          <w:szCs w:val="32"/>
        </w:rPr>
        <w:t>人次。</w:t>
      </w:r>
    </w:p>
    <w:p w14:paraId="59429F73">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sz w:val="32"/>
          <w:szCs w:val="32"/>
        </w:rPr>
        <w:t>与全年预算数相比情况：“三公”经费支出全年预算数0.00万元，决算数</w:t>
      </w:r>
      <w:r>
        <w:rPr>
          <w:rFonts w:ascii="仿宋_GB2312" w:eastAsia="仿宋_GB2312"/>
          <w:sz w:val="32"/>
          <w:szCs w:val="32"/>
        </w:rPr>
        <w:t>0.00</w:t>
      </w:r>
      <w:r>
        <w:rPr>
          <w:rFonts w:hint="eastAsia" w:ascii="仿宋_GB2312" w:eastAsia="仿宋_GB2312"/>
          <w:sz w:val="32"/>
          <w:szCs w:val="32"/>
        </w:rPr>
        <w:t>万元，预决算差异率0.00%，主要原因是：我单位无财政拨款“三公”经费支出。</w:t>
      </w:r>
      <w:r>
        <w:rPr>
          <w:rFonts w:hint="eastAsia" w:ascii="仿宋_GB2312" w:hAnsi="宋体" w:eastAsia="仿宋_GB2312" w:cs="宋体"/>
          <w:kern w:val="0"/>
          <w:sz w:val="32"/>
          <w:szCs w:val="32"/>
        </w:rPr>
        <w:t>其中：因公出国（境）费全年预算数</w:t>
      </w:r>
      <w:r>
        <w:rPr>
          <w:rFonts w:hint="eastAsia" w:ascii="仿宋_GB2312" w:eastAsia="仿宋_GB2312"/>
          <w:sz w:val="32"/>
          <w:szCs w:val="32"/>
        </w:rPr>
        <w:t>0.00万元，决算数0.00万元，预决算差异率0.00%，主要原因是：我单位无因公出国（境）费；</w:t>
      </w:r>
      <w:r>
        <w:rPr>
          <w:rFonts w:hint="eastAsia" w:ascii="仿宋_GB2312" w:hAnsi="宋体" w:eastAsia="仿宋_GB2312" w:cs="宋体"/>
          <w:kern w:val="0"/>
          <w:sz w:val="32"/>
          <w:szCs w:val="32"/>
        </w:rPr>
        <w:t>公务用车购置</w:t>
      </w:r>
      <w:r>
        <w:rPr>
          <w:rFonts w:hint="eastAsia" w:ascii="仿宋_GB2312" w:eastAsia="仿宋_GB2312"/>
          <w:sz w:val="32"/>
          <w:szCs w:val="32"/>
        </w:rPr>
        <w:t>费全年预算数0.00万元，决算数0.00万元，预决算差异率0.00%，主要原因是：我单位无公务用车购置费；</w:t>
      </w:r>
      <w:r>
        <w:rPr>
          <w:rFonts w:hint="eastAsia" w:ascii="仿宋_GB2312" w:hAnsi="宋体" w:eastAsia="仿宋_GB2312" w:cs="宋体"/>
          <w:kern w:val="0"/>
          <w:sz w:val="32"/>
          <w:szCs w:val="32"/>
        </w:rPr>
        <w:t>公务用车运行费全年</w:t>
      </w:r>
      <w:r>
        <w:rPr>
          <w:rFonts w:hint="eastAsia" w:ascii="仿宋_GB2312" w:eastAsia="仿宋_GB2312"/>
          <w:sz w:val="32"/>
          <w:szCs w:val="32"/>
        </w:rPr>
        <w:t>预算数0.00万元，决算数0.00万元，预决算差异率0.00%，主要原因是：我单位无公务用车运行维护费；</w:t>
      </w:r>
      <w:r>
        <w:rPr>
          <w:rFonts w:hint="eastAsia" w:ascii="仿宋_GB2312" w:hAnsi="宋体" w:eastAsia="仿宋_GB2312" w:cs="宋体"/>
          <w:kern w:val="0"/>
          <w:sz w:val="32"/>
          <w:szCs w:val="32"/>
        </w:rPr>
        <w:t>公务接待费全年</w:t>
      </w:r>
      <w:r>
        <w:rPr>
          <w:rFonts w:hint="eastAsia" w:ascii="仿宋_GB2312" w:eastAsia="仿宋_GB2312"/>
          <w:sz w:val="32"/>
          <w:szCs w:val="32"/>
        </w:rPr>
        <w:t>预算数</w:t>
      </w:r>
      <w:r>
        <w:rPr>
          <w:rFonts w:ascii="仿宋_GB2312" w:eastAsia="仿宋_GB2312"/>
          <w:sz w:val="32"/>
          <w:szCs w:val="32"/>
        </w:rPr>
        <w:t>0.00</w:t>
      </w:r>
      <w:r>
        <w:rPr>
          <w:rFonts w:hint="eastAsia" w:ascii="仿宋_GB2312" w:eastAsia="仿宋_GB2312"/>
          <w:sz w:val="32"/>
          <w:szCs w:val="32"/>
        </w:rPr>
        <w:t>万元，决算数</w:t>
      </w:r>
      <w:r>
        <w:rPr>
          <w:rFonts w:ascii="仿宋_GB2312" w:eastAsia="仿宋_GB2312"/>
          <w:sz w:val="32"/>
          <w:szCs w:val="32"/>
        </w:rPr>
        <w:t>0.00</w:t>
      </w:r>
      <w:r>
        <w:rPr>
          <w:rFonts w:hint="eastAsia" w:ascii="仿宋_GB2312" w:eastAsia="仿宋_GB2312"/>
          <w:sz w:val="32"/>
          <w:szCs w:val="32"/>
        </w:rPr>
        <w:t>万元，预决算差异率0.00%，主要原因是：我单位无公务接待费。</w:t>
      </w:r>
    </w:p>
    <w:p w14:paraId="740126B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14:paraId="7CD18FA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14:paraId="1FFD781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4C4F08D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14:paraId="75DF9EB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14:paraId="413D832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14:paraId="7570724D">
      <w:pPr>
        <w:ind w:firstLine="640" w:firstLineChars="200"/>
        <w:rPr>
          <w:rFonts w:hint="eastAsia" w:ascii="Times New Roman" w:hAnsi="Times New Roman" w:eastAsia="仿宋_GB2312" w:cs="Times New Roman"/>
          <w:color w:val="auto"/>
          <w:sz w:val="32"/>
          <w:szCs w:val="32"/>
          <w:highlight w:val="none"/>
          <w:lang w:val="zh-CN" w:eastAsia="zh-CN"/>
        </w:rPr>
      </w:pPr>
      <w:bookmarkStart w:id="24" w:name="_Toc26704"/>
      <w:bookmarkStart w:id="25" w:name="_Toc227"/>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和硕县国土资源执法监察大队（行政单位和参照公务员法管理事业单位）机关运行经费支出4.73万元，比上年增加0.11万元，增长2.34%,主要原因是：公用经费测算基数增加导致拨款增加，因此支出增加。</w:t>
      </w:r>
    </w:p>
    <w:p w14:paraId="13909C5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23BE689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其中：政府采购货物支出0.00万元、政府采购工程支出0.00万元、政府采购服务支出0.00万元。</w:t>
      </w:r>
    </w:p>
    <w:p w14:paraId="148692D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14:paraId="46BD636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14:paraId="7F3F756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72.77</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屋92.0平方米，价值26.56万元。车辆2辆，价值33.09万元，其中：副部（省）级及以上领导用车0辆、主要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用车0辆、机要通信用车0辆、应急保障用车0辆、执法执勤用车1辆、特种专业技术用车0辆、离退休干部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用车0辆、其他用车1辆，其他用车主要是：</w:t>
      </w:r>
      <w:r>
        <w:rPr>
          <w:rFonts w:hint="eastAsia" w:ascii="仿宋_GB2312" w:eastAsia="仿宋_GB2312"/>
          <w:sz w:val="32"/>
          <w:szCs w:val="32"/>
        </w:rPr>
        <w:t>后勤保障用车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14:paraId="61DF134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14:paraId="42EE145E">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rPr>
        <w:t>预算绩效管理取得的成效：</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发现的问题及原因：</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下一步改进措施：</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rPr>
        <w:t>。</w:t>
      </w:r>
    </w:p>
    <w:p w14:paraId="36B6B285">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14:paraId="648CD96B">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授予中小企业合同金额、授予小微企业合同金额为0.00万元，主要原因是：我单位</w:t>
      </w:r>
      <w:bookmarkStart w:id="48" w:name="_GoBack"/>
      <w:bookmarkEnd w:id="48"/>
      <w:r>
        <w:rPr>
          <w:rFonts w:hint="eastAsia" w:ascii="仿宋_GB2312" w:hAnsi="仿宋_GB2312" w:eastAsia="仿宋_GB2312" w:cs="仿宋_GB2312"/>
          <w:color w:val="auto"/>
          <w:kern w:val="0"/>
          <w:sz w:val="32"/>
          <w:szCs w:val="32"/>
          <w:highlight w:val="none"/>
          <w:lang w:val="en-US" w:eastAsia="zh-CN"/>
        </w:rPr>
        <w:t>为自治区垂直管理单位，属于自治区外派机构实行驻地采购方式，不在自治区集中采购范围内，所以无政府采购相关情况。</w:t>
      </w:r>
    </w:p>
    <w:p w14:paraId="3021109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14:paraId="201331A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4251BCD5">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3509D0D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379A211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4862241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135D862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5A18A96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509ED093">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ECED675">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5F09F90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5FF0911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0B505E7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30EA8CE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25A7D62F">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62AC346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59DEB4E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14:paraId="51A5687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14:paraId="5D459A2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14:paraId="1D3EDAB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14:paraId="284FADE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14:paraId="5B3E56F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14:paraId="288F15C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14:paraId="0C95D0B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14:paraId="2402504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3563CE78">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14:paraId="006E95E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602775">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F9DB0E3">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0F9DB0E3">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zZmRjNGE1MWFhMmQ5YTI4N2U2NGVhNTI5YmQ5NzAifQ=="/>
    <w:docVar w:name="KSO_WPS_MARK_KEY" w:val="41ee2a61-2d54-4f93-83be-afdb9a40d732"/>
  </w:docVars>
  <w:rsids>
    <w:rsidRoot w:val="00000000"/>
    <w:rsid w:val="00213C59"/>
    <w:rsid w:val="003210CE"/>
    <w:rsid w:val="00B70D59"/>
    <w:rsid w:val="00F52A8D"/>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6D23A24"/>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8A84CC1"/>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5F096E"/>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2FFF023A"/>
    <w:rsid w:val="300E7B60"/>
    <w:rsid w:val="300F6E18"/>
    <w:rsid w:val="30862F5F"/>
    <w:rsid w:val="314029C9"/>
    <w:rsid w:val="31C63837"/>
    <w:rsid w:val="31C82E39"/>
    <w:rsid w:val="32601BAD"/>
    <w:rsid w:val="329F6389"/>
    <w:rsid w:val="32A468B0"/>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0C6373"/>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976D69"/>
    <w:rsid w:val="7CD752DA"/>
    <w:rsid w:val="7CDE40AB"/>
    <w:rsid w:val="7CF057E2"/>
    <w:rsid w:val="7D1548B5"/>
    <w:rsid w:val="7DCE253C"/>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5319</Words>
  <Characters>5900</Characters>
  <Lines>0</Lines>
  <Paragraphs>0</Paragraphs>
  <TotalTime>0</TotalTime>
  <ScaleCrop>false</ScaleCrop>
  <LinksUpToDate>false</LinksUpToDate>
  <CharactersWithSpaces>5919</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琪琪妈妈</cp:lastModifiedBy>
  <dcterms:modified xsi:type="dcterms:W3CDTF">2024-09-02T02:54:09Z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