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巴音郭楞蒙古自治州国土资源执法监察支队</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巴音郭楞蒙古自治州国土资源执法监察支队，为副处级垂直管理单位，履行巴音郭楞蒙古自治州国土资源执法监察职能，是参照公务员法管理的事业单位。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2、组织和实施对全州执行土地、矿产资源法律、法规、规章情况的巡查，及时发现和制止土地、矿产资源违法行为。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3、依法组织和实施自治州重大土地、矿产资源违法案件的调查、取证、现场勘验工作，并进行查处。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4、负责自治州重大土地、矿产资源违法案件查处决定的督办。</w:t>
      </w:r>
      <w:r>
        <w:rPr>
          <w:rFonts w:ascii="仿宋_GB2312" w:eastAsia="仿宋_GB2312"/>
          <w:sz w:val="32"/>
          <w:szCs w:val="32"/>
        </w:rPr>
        <w:br w:type="textWrapping"/>
      </w:r>
      <w:r>
        <w:rPr>
          <w:rFonts w:ascii="仿宋_GB2312" w:eastAsia="仿宋_GB2312"/>
          <w:sz w:val="32"/>
          <w:szCs w:val="32"/>
        </w:rPr>
        <w:t>　　5、领导辖区内各县、市国土资源执法监察大队，负责全州国土资源执法监察队伍建设，统一管理全州国土资源执法监察机构的人员、经费、执法业务。</w:t>
      </w:r>
      <w:r>
        <w:rPr>
          <w:rFonts w:ascii="仿宋_GB2312" w:eastAsia="仿宋_GB2312"/>
          <w:sz w:val="32"/>
          <w:szCs w:val="32"/>
        </w:rPr>
        <w:br w:type="textWrapping"/>
      </w:r>
      <w:r>
        <w:rPr>
          <w:rFonts w:ascii="仿宋_GB2312" w:eastAsia="仿宋_GB2312"/>
          <w:sz w:val="32"/>
          <w:szCs w:val="32"/>
        </w:rPr>
        <w:t>　　6、完成自治区国土资源执法监察总队和当地党委政府交办的其他工作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巴音郭楞蒙古自治州国土资源执法监察支队（本级）</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个处室，分别是：办公室、土地执法监察科、矿产执法监察科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365.40万元，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342.68万元，使用非财政拨款结余0.00万元，年初结转和结余22.72万元。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365.40万元，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364.32万元，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0.00万元，年末结转和结余1.07万元。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减少26.06万元</w:t>
      </w:r>
      <w:r>
        <w:rPr>
          <w:rFonts w:hint="eastAsia" w:ascii="仿宋_GB2312" w:eastAsia="仿宋_GB2312"/>
          <w:color w:val="auto"/>
          <w:spacing w:val="0"/>
          <w:sz w:val="32"/>
          <w:szCs w:val="32"/>
          <w:highlight w:val="none"/>
          <w:lang w:eastAsia="zh-CN"/>
        </w:rPr>
        <w:t>，下降6.66%，主要原因是：因人员变动及执法业务量减少等原因，导致</w:t>
      </w:r>
      <w:r>
        <w:rPr>
          <w:rFonts w:hint="eastAsia" w:ascii="仿宋_GB2312" w:eastAsia="仿宋_GB2312"/>
          <w:color w:val="auto"/>
          <w:spacing w:val="0"/>
          <w:sz w:val="32"/>
          <w:szCs w:val="32"/>
          <w:highlight w:val="none"/>
          <w:lang w:val="en-US" w:eastAsia="zh-CN"/>
        </w:rPr>
        <w:t>收入支出总体</w:t>
      </w:r>
      <w:r>
        <w:rPr>
          <w:rFonts w:hint="eastAsia" w:ascii="仿宋_GB2312" w:eastAsia="仿宋_GB2312"/>
          <w:color w:val="auto"/>
          <w:spacing w:val="0"/>
          <w:sz w:val="32"/>
          <w:szCs w:val="32"/>
          <w:highlight w:val="none"/>
          <w:lang w:eastAsia="zh-CN"/>
        </w:rPr>
        <w:t>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342.68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342.66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本年支出364.32万元，其中：基本支出284.32万元，占78.04%；项目支出80.00万元，占21.96%；上缴上级支出0.00万元，占0.00%；经营支出0.00万元，占0.00%；对附属单位补助支出0.00万元，占0.00%。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342.66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342.66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342.66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342.66</w:t>
      </w:r>
      <w:r>
        <w:rPr>
          <w:rFonts w:hint="eastAsia" w:ascii="仿宋_GB2312" w:eastAsia="仿宋_GB2312"/>
          <w:color w:val="auto"/>
          <w:spacing w:val="0"/>
          <w:sz w:val="32"/>
          <w:szCs w:val="32"/>
          <w:highlight w:val="none"/>
          <w:lang w:eastAsia="zh-CN"/>
        </w:rPr>
        <w:t>万元。</w:t>
      </w:r>
    </w:p>
    <w:p>
      <w:pPr>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增加13.12万元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增长3.98%,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调标增资及基础绩效奖增资导致本年</w:t>
      </w:r>
      <w:r>
        <w:rPr>
          <w:rFonts w:hint="eastAsia" w:ascii="仿宋_GB2312" w:eastAsia="仿宋_GB2312"/>
          <w:color w:val="auto"/>
          <w:spacing w:val="0"/>
          <w:sz w:val="32"/>
          <w:szCs w:val="32"/>
          <w:highlight w:val="none"/>
          <w:lang w:eastAsia="zh-CN"/>
        </w:rPr>
        <w:t>财政拨款</w:t>
      </w:r>
      <w:r>
        <w:rPr>
          <w:rFonts w:hint="eastAsia" w:ascii="仿宋_GB2312" w:eastAsia="仿宋_GB2312"/>
          <w:sz w:val="32"/>
          <w:szCs w:val="32"/>
        </w:rPr>
        <w:t>收入</w:t>
      </w:r>
      <w:r>
        <w:rPr>
          <w:rFonts w:hint="eastAsia" w:ascii="仿宋_GB2312" w:eastAsia="仿宋_GB2312"/>
          <w:sz w:val="32"/>
          <w:szCs w:val="32"/>
          <w:lang w:val="en-US" w:eastAsia="zh-CN"/>
        </w:rPr>
        <w:t>支出总体</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313.27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342.66</w:t>
      </w:r>
      <w:r>
        <w:rPr>
          <w:rFonts w:hint="eastAsia" w:ascii="仿宋_GB2312" w:eastAsia="仿宋_GB2312"/>
          <w:color w:val="auto"/>
          <w:spacing w:val="0"/>
          <w:sz w:val="32"/>
          <w:szCs w:val="32"/>
          <w:highlight w:val="none"/>
          <w:lang w:eastAsia="zh-CN"/>
        </w:rPr>
        <w:t>万元，预决算差异率9.38%，主要原因是：</w:t>
      </w:r>
      <w:r>
        <w:rPr>
          <w:rFonts w:hint="eastAsia" w:ascii="仿宋_GB2312" w:eastAsia="仿宋_GB2312"/>
          <w:color w:val="auto"/>
          <w:spacing w:val="0"/>
          <w:sz w:val="32"/>
          <w:szCs w:val="32"/>
          <w:highlight w:val="none"/>
          <w:lang w:val="en-US" w:eastAsia="zh-CN"/>
        </w:rPr>
        <w:t>有</w:t>
      </w:r>
      <w:r>
        <w:rPr>
          <w:rFonts w:hint="eastAsia" w:ascii="仿宋_GB2312" w:eastAsia="仿宋_GB2312"/>
          <w:sz w:val="32"/>
          <w:szCs w:val="32"/>
        </w:rPr>
        <w:t>调标增资及基础绩效奖增资</w:t>
      </w:r>
      <w:r>
        <w:rPr>
          <w:rFonts w:hint="eastAsia" w:ascii="仿宋_GB2312" w:eastAsia="仿宋_GB2312"/>
          <w:sz w:val="32"/>
          <w:szCs w:val="32"/>
          <w:lang w:val="en-US" w:eastAsia="zh-CN"/>
        </w:rPr>
        <w:t>追加经费，导致</w:t>
      </w:r>
      <w:r>
        <w:rPr>
          <w:rFonts w:hint="eastAsia" w:ascii="仿宋_GB2312" w:eastAsia="仿宋_GB2312"/>
          <w:color w:val="auto"/>
          <w:spacing w:val="0"/>
          <w:sz w:val="32"/>
          <w:szCs w:val="32"/>
          <w:highlight w:val="none"/>
          <w:lang w:eastAsia="zh-CN"/>
        </w:rPr>
        <w:t>财政拨款预决算</w:t>
      </w:r>
      <w:r>
        <w:rPr>
          <w:rFonts w:hint="eastAsia" w:ascii="仿宋_GB2312" w:eastAsia="仿宋_GB2312"/>
          <w:color w:val="auto"/>
          <w:spacing w:val="0"/>
          <w:sz w:val="32"/>
          <w:szCs w:val="32"/>
          <w:highlight w:val="none"/>
          <w:lang w:val="en-US" w:eastAsia="zh-CN"/>
        </w:rPr>
        <w:t>有</w:t>
      </w:r>
      <w:r>
        <w:rPr>
          <w:rFonts w:hint="eastAsia" w:ascii="仿宋_GB2312" w:eastAsia="仿宋_GB2312"/>
          <w:color w:val="auto"/>
          <w:spacing w:val="0"/>
          <w:sz w:val="32"/>
          <w:szCs w:val="32"/>
          <w:highlight w:val="none"/>
          <w:lang w:eastAsia="zh-CN"/>
        </w:rPr>
        <w:t>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2023年度一般公共预算财政拨款支出342.66万元，占本年支出合计的</w:t>
      </w:r>
      <w:r>
        <w:rPr>
          <w:rFonts w:hint="eastAsia" w:ascii="仿宋_GB2312" w:eastAsia="仿宋_GB2312"/>
          <w:color w:val="auto"/>
          <w:spacing w:val="0"/>
          <w:sz w:val="32"/>
          <w:szCs w:val="32"/>
          <w:highlight w:val="none"/>
          <w:lang w:val="zh-CN" w:eastAsia="zh-CN"/>
        </w:rPr>
        <w:t>94.05%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增加13.12万元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增长3.98%,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调标增资及基础绩效奖增资导致本年收入增加，因此本年基本支出增加。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313.27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342.66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9.38%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有</w:t>
      </w:r>
      <w:r>
        <w:rPr>
          <w:rFonts w:hint="eastAsia" w:ascii="仿宋_GB2312" w:eastAsia="仿宋_GB2312"/>
          <w:sz w:val="32"/>
          <w:szCs w:val="32"/>
        </w:rPr>
        <w:t>调标增资及基础绩效奖增资</w:t>
      </w:r>
      <w:r>
        <w:rPr>
          <w:rFonts w:hint="eastAsia" w:ascii="仿宋_GB2312" w:eastAsia="仿宋_GB2312"/>
          <w:sz w:val="32"/>
          <w:szCs w:val="32"/>
          <w:lang w:val="en-US" w:eastAsia="zh-CN"/>
        </w:rPr>
        <w:t>追加经费，导致</w:t>
      </w:r>
      <w:r>
        <w:rPr>
          <w:rFonts w:hint="eastAsia" w:ascii="仿宋_GB2312" w:eastAsia="仿宋_GB2312"/>
          <w:color w:val="auto"/>
          <w:spacing w:val="0"/>
          <w:sz w:val="32"/>
          <w:szCs w:val="32"/>
          <w:highlight w:val="none"/>
          <w:lang w:eastAsia="zh-CN"/>
        </w:rPr>
        <w:t>财政拨款支出预决算</w:t>
      </w:r>
      <w:r>
        <w:rPr>
          <w:rFonts w:hint="eastAsia" w:ascii="仿宋_GB2312" w:eastAsia="仿宋_GB2312"/>
          <w:color w:val="auto"/>
          <w:spacing w:val="0"/>
          <w:sz w:val="32"/>
          <w:szCs w:val="32"/>
          <w:highlight w:val="none"/>
          <w:lang w:val="en-US" w:eastAsia="zh-CN"/>
        </w:rPr>
        <w:t>有</w:t>
      </w:r>
      <w:r>
        <w:rPr>
          <w:rFonts w:hint="eastAsia" w:ascii="仿宋_GB2312" w:eastAsia="仿宋_GB2312"/>
          <w:color w:val="auto"/>
          <w:spacing w:val="0"/>
          <w:sz w:val="32"/>
          <w:szCs w:val="32"/>
          <w:highlight w:val="none"/>
          <w:lang w:eastAsia="zh-CN"/>
        </w:rPr>
        <w:t>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46.69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19.95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260.12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75.91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15.90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4.64</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1.卫生健康支出（类）行政事业单位医疗（款）行政单位医疗（项）:支出决算数为10.68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6.24%，主要原因是：</w:t>
      </w:r>
      <w:r>
        <w:rPr>
          <w:rFonts w:hint="eastAsia" w:ascii="仿宋_GB2312" w:eastAsia="仿宋_GB2312"/>
          <w:sz w:val="32"/>
          <w:szCs w:val="32"/>
        </w:rPr>
        <w:t>人员职务职级晋升，</w:t>
      </w:r>
      <w:r>
        <w:rPr>
          <w:rFonts w:hint="eastAsia" w:ascii="仿宋_GB2312" w:eastAsia="仿宋_GB2312"/>
          <w:sz w:val="32"/>
          <w:szCs w:val="32"/>
          <w:lang w:val="en-US" w:eastAsia="zh-CN"/>
        </w:rPr>
        <w:t>医疗保险</w:t>
      </w:r>
      <w:r>
        <w:rPr>
          <w:rFonts w:hint="eastAsia" w:ascii="仿宋_GB2312" w:eastAsia="仿宋_GB2312"/>
          <w:sz w:val="32"/>
          <w:szCs w:val="32"/>
        </w:rPr>
        <w:t>缴费基数提高。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2.卫生健康支出（类）行政事业单位医疗（款）公务员医疗补助（项）:支出决算数为9.28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18.68%，主要原因是：</w:t>
      </w:r>
      <w:r>
        <w:rPr>
          <w:rFonts w:hint="eastAsia" w:ascii="仿宋_GB2312" w:eastAsia="仿宋_GB2312"/>
          <w:sz w:val="32"/>
          <w:szCs w:val="32"/>
        </w:rPr>
        <w:t>人员职务职级晋升，</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sz w:val="32"/>
          <w:szCs w:val="32"/>
        </w:rPr>
        <w:t>缴费基数提高。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3.自然资源海洋气象等支出（类）自然资源事务（款）其他自然资源事务支出（项）:支出决算数为80.00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ascii="仿宋_GB2312" w:eastAsia="仿宋_GB2312"/>
          <w:sz w:val="32"/>
          <w:szCs w:val="32"/>
        </w:rPr>
        <w:t>本年度执法办案业务量与上年持平。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4.自然资源海洋气象等支出（类）自然资源事务（款）行政运行（项）:支出决算数为180.12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3.65%，主要原因是：</w:t>
      </w:r>
      <w:r>
        <w:rPr>
          <w:rFonts w:hint="eastAsia" w:eastAsia="仿宋_GB2312" w:cs="Times New Roman"/>
          <w:color w:val="auto"/>
          <w:kern w:val="2"/>
          <w:sz w:val="32"/>
          <w:szCs w:val="32"/>
          <w:highlight w:val="none"/>
          <w:lang w:val="en-US" w:eastAsia="zh-CN" w:bidi="ar-SA"/>
        </w:rPr>
        <w:t>本年度厉行节约，相应支出减少</w:t>
      </w:r>
      <w:bookmarkStart w:id="48" w:name="_GoBack"/>
      <w:bookmarkEnd w:id="48"/>
      <w:r>
        <w:rPr>
          <w:rFonts w:hint="eastAsia"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5.住房保障支出（类）住房改革支出（款）住房公积金（项）:支出决算数为15.90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13.96%，主要原因是：</w:t>
      </w:r>
      <w:r>
        <w:rPr>
          <w:rFonts w:hint="eastAsia" w:ascii="仿宋_GB2312" w:eastAsia="仿宋_GB2312"/>
          <w:sz w:val="32"/>
          <w:szCs w:val="32"/>
        </w:rPr>
        <w:t>人员职务职级晋升，</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sz w:val="32"/>
          <w:szCs w:val="32"/>
        </w:rPr>
        <w:t>缴费基数提高。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6.社会保障和就业支出（类）行政事业单位养老支出（款）行政单位离退休（项）:支出决算数为11.56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5.09%，主要原因是：</w:t>
      </w:r>
      <w:r>
        <w:rPr>
          <w:rFonts w:hint="eastAsia" w:eastAsia="仿宋_GB2312" w:cs="Times New Roman"/>
          <w:color w:val="auto"/>
          <w:kern w:val="2"/>
          <w:sz w:val="32"/>
          <w:szCs w:val="32"/>
          <w:highlight w:val="none"/>
          <w:lang w:val="en-US" w:eastAsia="zh-CN" w:bidi="ar-SA"/>
        </w:rPr>
        <w:t>本年度财政收回退休人员医疗保险预算。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7.社会保障和就业支出（类）行政事业单位养老支出（款）机关事业单位基本养老保险缴费支出（项）:支出决算数为21.20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13.96%，主要原因是：</w:t>
      </w:r>
      <w:r>
        <w:rPr>
          <w:rFonts w:hint="eastAsia" w:ascii="仿宋_GB2312" w:eastAsia="仿宋_GB2312"/>
          <w:sz w:val="32"/>
          <w:szCs w:val="32"/>
        </w:rPr>
        <w:t>人员职务职级晋升，</w:t>
      </w:r>
      <w:r>
        <w:rPr>
          <w:rFonts w:hint="eastAsia" w:ascii="Times New Roman" w:hAnsi="Times New Roman" w:eastAsia="仿宋_GB2312" w:cs="Times New Roman"/>
          <w:color w:val="auto"/>
          <w:kern w:val="2"/>
          <w:sz w:val="32"/>
          <w:szCs w:val="32"/>
          <w:highlight w:val="none"/>
          <w:lang w:val="en-US" w:eastAsia="zh-CN" w:bidi="ar-SA"/>
        </w:rPr>
        <w:t>机关事业单位基本养老保险</w:t>
      </w:r>
      <w:r>
        <w:rPr>
          <w:rFonts w:hint="eastAsia" w:ascii="仿宋_GB2312" w:eastAsia="仿宋_GB2312"/>
          <w:sz w:val="32"/>
          <w:szCs w:val="32"/>
        </w:rPr>
        <w:t>缴费基数提高。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8.社会保障和就业支出（类）行政事业单位养老支出（款）机关事业单位职业年金缴费支出（项）:支出决算数为13.92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本年度新增1名退休人员，</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262.66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240.49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 伙食补助费、机关事业单位基本养老保险缴费、职业年金缴费、职工基本医疗保险缴费、公务员医疗补助缴费、其他社会保障缴费、住房公积金、其他工资福利支出、退休费、其他对个人和家庭的补助。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22.17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办公费、电费、邮电费、取暖费、差旅费、工会经费、福利费、其他交通费用、其他商品和服务支出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en-US" w:eastAsia="zh-CN"/>
        </w:rPr>
        <w:t>不属于公务用车，使用其他交通费，支付燃油及维修费</w:t>
      </w:r>
      <w:r>
        <w:rPr>
          <w:rFonts w:hint="eastAsia" w:ascii="仿宋_GB2312" w:eastAsia="仿宋_GB2312"/>
          <w:color w:val="auto"/>
          <w:sz w:val="32"/>
          <w:szCs w:val="32"/>
          <w:highlight w:val="none"/>
          <w:lang w:val="zh-CN" w:eastAsia="zh-CN"/>
        </w:rPr>
        <w:t>。</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巴音郭楞蒙古自治州国土资源执法监察支队（行政单位和参照公务员法管理事业单位）机关运行经费支出22.17万元，</w:t>
      </w:r>
      <w:r>
        <w:rPr>
          <w:rFonts w:hint="eastAsia" w:ascii="Times New Roman" w:hAnsi="Times New Roman" w:eastAsia="仿宋_GB2312" w:cs="Times New Roman"/>
          <w:color w:val="auto"/>
          <w:sz w:val="32"/>
          <w:szCs w:val="32"/>
          <w:highlight w:val="none"/>
          <w:lang w:val="zh-CN" w:eastAsia="zh-CN"/>
        </w:rPr>
        <w:t>比上年增加3.06万元，增长16.03%，主要原因是：</w:t>
      </w:r>
      <w:r>
        <w:rPr>
          <w:rFonts w:hint="eastAsia" w:ascii="仿宋_GB2312" w:eastAsia="仿宋_GB2312"/>
          <w:sz w:val="32"/>
          <w:szCs w:val="32"/>
          <w:lang w:val="en-US" w:eastAsia="zh-CN"/>
        </w:rPr>
        <w:t>本年邮电费、差旅费增加</w:t>
      </w:r>
      <w:r>
        <w:rPr>
          <w:rFonts w:hint="eastAsia" w:ascii="仿宋_GB2312" w:eastAsia="仿宋_GB2312"/>
          <w:sz w:val="32"/>
          <w:szCs w:val="32"/>
        </w:rPr>
        <w:t>，</w:t>
      </w:r>
      <w:r>
        <w:rPr>
          <w:rFonts w:hint="eastAsia" w:ascii="仿宋_GB2312" w:eastAsia="仿宋_GB2312"/>
          <w:sz w:val="32"/>
          <w:szCs w:val="32"/>
          <w:lang w:val="en-US" w:eastAsia="zh-CN"/>
        </w:rPr>
        <w:t>导致</w:t>
      </w:r>
      <w:r>
        <w:rPr>
          <w:rFonts w:hint="eastAsia" w:ascii="仿宋_GB2312" w:eastAsia="仿宋_GB2312"/>
          <w:sz w:val="32"/>
          <w:szCs w:val="32"/>
        </w:rPr>
        <w:t>机关运行经费</w:t>
      </w:r>
      <w:r>
        <w:rPr>
          <w:rFonts w:hint="eastAsia" w:ascii="仿宋_GB2312" w:eastAsia="仿宋_GB2312"/>
          <w:sz w:val="32"/>
          <w:szCs w:val="32"/>
          <w:lang w:val="en-US" w:eastAsia="zh-CN"/>
        </w:rPr>
        <w:t>支出</w:t>
      </w:r>
      <w:r>
        <w:rPr>
          <w:rFonts w:hint="eastAsia" w:ascii="仿宋_GB2312" w:eastAsia="仿宋_GB2312"/>
          <w:sz w:val="32"/>
          <w:szCs w:val="32"/>
        </w:rPr>
        <w:t>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355.43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屋656.03平方米，价值138.98万元。车辆4辆，价值121.59万元，其中：副部（省）级及以上领导用车0辆、主要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用车0辆、机要通信用车0辆、应急保障用车0辆、执法执勤用车2辆、特种专业技术用车0辆、离退休干部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ascii="仿宋_GB2312" w:eastAsia="仿宋_GB2312"/>
          <w:sz w:val="32"/>
          <w:szCs w:val="32"/>
          <w:lang w:val="en-US" w:eastAsia="zh-CN"/>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4DA7990"/>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0EC5756"/>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C70F36"/>
    <w:rsid w:val="28DF2665"/>
    <w:rsid w:val="29072599"/>
    <w:rsid w:val="291029F3"/>
    <w:rsid w:val="29CB58F0"/>
    <w:rsid w:val="2A053397"/>
    <w:rsid w:val="2A145E96"/>
    <w:rsid w:val="2A2131BB"/>
    <w:rsid w:val="2AF5378F"/>
    <w:rsid w:val="2B456893"/>
    <w:rsid w:val="2BB94DBF"/>
    <w:rsid w:val="2C5C6139"/>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312DC4"/>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520A5B"/>
    <w:rsid w:val="4B8553A9"/>
    <w:rsid w:val="4BDB3730"/>
    <w:rsid w:val="4C200F7A"/>
    <w:rsid w:val="4CEE3180"/>
    <w:rsid w:val="4D0F4AF6"/>
    <w:rsid w:val="4DF94F37"/>
    <w:rsid w:val="4E0A1DD5"/>
    <w:rsid w:val="4E3160E5"/>
    <w:rsid w:val="4E4D37AF"/>
    <w:rsid w:val="4E8C6496"/>
    <w:rsid w:val="4EFD18DE"/>
    <w:rsid w:val="4F144236"/>
    <w:rsid w:val="4F663C87"/>
    <w:rsid w:val="4F734D38"/>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49B"/>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23892"/>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2D6282"/>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360E20"/>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5495</Words>
  <Characters>6103</Characters>
  <Lines>0</Lines>
  <Paragraphs>0</Paragraphs>
  <TotalTime>0</TotalTime>
  <ScaleCrop>false</ScaleCrop>
  <LinksUpToDate>false</LinksUpToDate>
  <CharactersWithSpaces>6126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