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val="en-US" w:eastAsia="zh-CN"/>
        </w:rPr>
        <w:t>巴音郭楞蒙古自治州国土资源执法监察支队</w:t>
      </w:r>
      <w:r>
        <w:rPr>
          <w:rFonts w:hint="eastAsia" w:ascii="方正小标宋_GBK" w:hAnsi="宋体" w:eastAsia="方正小标宋_GBK"/>
          <w:color w:val="auto"/>
          <w:sz w:val="44"/>
          <w:szCs w:val="44"/>
          <w:highlight w:val="none"/>
          <w:lang w:eastAsia="zh-CN"/>
        </w:rPr>
        <w:t>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部门</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部门</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sz w:val="32"/>
          <w:szCs w:val="32"/>
        </w:rPr>
      </w:pPr>
      <w:bookmarkStart w:id="4" w:name="_Toc31238"/>
      <w:bookmarkStart w:id="5" w:name="_Toc2151"/>
      <w:r>
        <w:rPr>
          <w:rFonts w:ascii="仿宋_GB2312" w:eastAsia="仿宋_GB2312"/>
          <w:sz w:val="32"/>
          <w:szCs w:val="32"/>
        </w:rPr>
        <w:t>巴音郭楞蒙古自治州国土资源执法监察支队，为副处级垂直管理单位，履行巴音郭楞蒙古自治州国土资源执法监察职能，是参照公务员法管理的事业单位。</w:t>
      </w:r>
      <w:r>
        <w:rPr>
          <w:rFonts w:ascii="仿宋_GB2312" w:eastAsia="仿宋_GB2312"/>
          <w:sz w:val="32"/>
          <w:szCs w:val="32"/>
        </w:rPr>
        <w:br w:type="textWrapping"/>
      </w:r>
      <w:r>
        <w:rPr>
          <w:rFonts w:ascii="仿宋_GB2312" w:eastAsia="仿宋_GB2312"/>
          <w:sz w:val="32"/>
          <w:szCs w:val="32"/>
        </w:rPr>
        <w:t>　　1、宣传和贯彻执行国家、自治区有关土地、矿产资源的法律、法规、规章和政策。</w:t>
      </w:r>
      <w:r>
        <w:rPr>
          <w:rFonts w:ascii="仿宋_GB2312" w:eastAsia="仿宋_GB2312"/>
          <w:sz w:val="32"/>
          <w:szCs w:val="32"/>
        </w:rPr>
        <w:br w:type="textWrapping"/>
      </w:r>
      <w:r>
        <w:rPr>
          <w:rFonts w:ascii="仿宋_GB2312" w:eastAsia="仿宋_GB2312"/>
          <w:sz w:val="32"/>
          <w:szCs w:val="32"/>
        </w:rPr>
        <w:t>　　2、组织和实施对全州执行土地、矿产资源法律、法规、规章情况的巡查，及时发现和制止土地、矿产资源违法行为。</w:t>
      </w:r>
      <w:r>
        <w:rPr>
          <w:rFonts w:ascii="仿宋_GB2312" w:eastAsia="仿宋_GB2312"/>
          <w:sz w:val="32"/>
          <w:szCs w:val="32"/>
        </w:rPr>
        <w:br w:type="textWrapping"/>
      </w:r>
      <w:r>
        <w:rPr>
          <w:rFonts w:ascii="仿宋_GB2312" w:eastAsia="仿宋_GB2312"/>
          <w:sz w:val="32"/>
          <w:szCs w:val="32"/>
        </w:rPr>
        <w:t>　　3、依法组织和实施自治州重大土地、矿产资源违法案件的调查、取证、现场勘验工作，并进行查处。</w:t>
      </w:r>
      <w:r>
        <w:rPr>
          <w:rFonts w:ascii="仿宋_GB2312" w:eastAsia="仿宋_GB2312"/>
          <w:sz w:val="32"/>
          <w:szCs w:val="32"/>
        </w:rPr>
        <w:br w:type="textWrapping"/>
      </w:r>
      <w:r>
        <w:rPr>
          <w:rFonts w:ascii="仿宋_GB2312" w:eastAsia="仿宋_GB2312"/>
          <w:sz w:val="32"/>
          <w:szCs w:val="32"/>
        </w:rPr>
        <w:t>　　4、负责自治州重大土地、矿产资源违法案件查处决定的督办。</w:t>
      </w:r>
      <w:r>
        <w:rPr>
          <w:rFonts w:ascii="仿宋_GB2312" w:eastAsia="仿宋_GB2312"/>
          <w:sz w:val="32"/>
          <w:szCs w:val="32"/>
        </w:rPr>
        <w:br w:type="textWrapping"/>
      </w:r>
      <w:r>
        <w:rPr>
          <w:rFonts w:ascii="仿宋_GB2312" w:eastAsia="仿宋_GB2312"/>
          <w:sz w:val="32"/>
          <w:szCs w:val="32"/>
        </w:rPr>
        <w:t>　　5、领导辖区内各县、市国土资源执法监察大队，负责全州国土资源执法监察队伍建设，统一管理全州国土资源执法监察机构的人员、经费、执法业务。</w:t>
      </w:r>
      <w:r>
        <w:rPr>
          <w:rFonts w:ascii="仿宋_GB2312" w:eastAsia="仿宋_GB2312"/>
          <w:sz w:val="32"/>
          <w:szCs w:val="32"/>
        </w:rPr>
        <w:br w:type="textWrapping"/>
      </w:r>
      <w:r>
        <w:rPr>
          <w:rFonts w:ascii="仿宋_GB2312" w:eastAsia="仿宋_GB2312"/>
          <w:sz w:val="32"/>
          <w:szCs w:val="32"/>
        </w:rPr>
        <w:t>　　6、完成自治区国土资源执法监察总队和当地党委政府交办的其他工作</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巴音郭楞蒙古自治州国土资源执法监察支队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73</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51</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22</w:t>
      </w:r>
      <w:r>
        <w:rPr>
          <w:rFonts w:hint="eastAsia" w:ascii="仿宋_GB2312" w:eastAsia="仿宋_GB2312"/>
          <w:color w:val="auto"/>
          <w:sz w:val="32"/>
          <w:szCs w:val="32"/>
          <w:highlight w:val="none"/>
        </w:rPr>
        <w:t>人。</w:t>
      </w:r>
    </w:p>
    <w:p>
      <w:pPr>
        <w:ind w:firstLine="640" w:firstLineChars="200"/>
        <w:rPr>
          <w:rFonts w:ascii="仿宋_GB2312" w:eastAsia="仿宋_GB2312"/>
          <w:sz w:val="32"/>
          <w:szCs w:val="32"/>
        </w:rPr>
      </w:pPr>
      <w:r>
        <w:rPr>
          <w:rFonts w:hint="eastAsia" w:ascii="仿宋_GB2312" w:eastAsia="仿宋_GB2312"/>
          <w:color w:val="auto"/>
          <w:sz w:val="32"/>
          <w:szCs w:val="32"/>
          <w:highlight w:val="none"/>
        </w:rPr>
        <w:t>从</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决算单位构成看，</w:t>
      </w:r>
      <w:r>
        <w:rPr>
          <w:rFonts w:hint="eastAsia" w:ascii="仿宋_GB2312" w:eastAsia="仿宋_GB2312"/>
          <w:sz w:val="32"/>
          <w:szCs w:val="32"/>
        </w:rPr>
        <w:t>巴音郭楞蒙古自治州国土资源执法监察支队部门决算包括：巴音郭楞蒙古自治州国土资源执法监察支队本级决算及所属单位决算。</w:t>
      </w:r>
    </w:p>
    <w:p>
      <w:pPr>
        <w:ind w:firstLine="640" w:firstLineChars="200"/>
        <w:rPr>
          <w:rFonts w:hint="eastAsia" w:ascii="仿宋_GB2312" w:eastAsia="仿宋_GB2312"/>
          <w:color w:val="auto"/>
          <w:sz w:val="32"/>
          <w:szCs w:val="32"/>
          <w:highlight w:val="none"/>
        </w:rPr>
      </w:pPr>
      <w:r>
        <w:rPr>
          <w:rFonts w:hint="eastAsia" w:ascii="仿宋_GB2312" w:eastAsia="仿宋_GB2312"/>
          <w:sz w:val="32"/>
          <w:szCs w:val="32"/>
        </w:rPr>
        <w:t>巴音郭楞蒙古自治州国土资源执法监察支队</w:t>
      </w:r>
      <w:r>
        <w:rPr>
          <w:rFonts w:hint="eastAsia" w:ascii="仿宋_GB2312" w:hAnsi="宋体" w:eastAsia="仿宋_GB2312" w:cs="宋体"/>
          <w:kern w:val="0"/>
          <w:sz w:val="32"/>
          <w:szCs w:val="32"/>
        </w:rPr>
        <w:t>本级</w:t>
      </w:r>
      <w:r>
        <w:rPr>
          <w:rFonts w:hint="eastAsia" w:ascii="仿宋_GB2312" w:hAnsi="黑体" w:eastAsia="仿宋_GB2312" w:cs="宋体"/>
          <w:bCs/>
          <w:kern w:val="0"/>
          <w:sz w:val="32"/>
          <w:szCs w:val="32"/>
        </w:rPr>
        <w:t>下设</w:t>
      </w:r>
      <w:r>
        <w:rPr>
          <w:rFonts w:hint="eastAsia" w:ascii="仿宋_GB2312" w:eastAsia="仿宋_GB2312"/>
          <w:sz w:val="32"/>
          <w:szCs w:val="32"/>
        </w:rPr>
        <w:t>3</w:t>
      </w:r>
      <w:r>
        <w:rPr>
          <w:rFonts w:hint="eastAsia" w:ascii="仿宋_GB2312" w:hAnsi="黑体" w:eastAsia="仿宋_GB2312" w:cs="宋体"/>
          <w:bCs/>
          <w:kern w:val="0"/>
          <w:sz w:val="32"/>
          <w:szCs w:val="32"/>
        </w:rPr>
        <w:t>个处室，分别是：办公室、土地执法科、矿产执法科</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rPr>
        <w:t>纳入</w:t>
      </w:r>
      <w:r>
        <w:rPr>
          <w:rFonts w:hint="eastAsia" w:ascii="仿宋_GB2312" w:eastAsia="仿宋_GB2312"/>
          <w:sz w:val="32"/>
          <w:szCs w:val="32"/>
        </w:rPr>
        <w:t>巴音郭楞蒙古自治州国土资源执法监察支队</w:t>
      </w: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rPr>
        <w:t>部门决算编制范围的</w:t>
      </w:r>
      <w:r>
        <w:rPr>
          <w:rFonts w:hint="eastAsia" w:ascii="仿宋_GB2312" w:eastAsia="仿宋_GB2312"/>
          <w:color w:val="auto"/>
          <w:spacing w:val="0"/>
          <w:sz w:val="32"/>
          <w:szCs w:val="32"/>
          <w:highlight w:val="none"/>
          <w:lang w:val="en-US" w:eastAsia="zh-CN"/>
        </w:rPr>
        <w:t>下属预算</w:t>
      </w:r>
      <w:r>
        <w:rPr>
          <w:rFonts w:hint="eastAsia" w:ascii="仿宋_GB2312" w:eastAsia="仿宋_GB2312"/>
          <w:color w:val="auto"/>
          <w:spacing w:val="0"/>
          <w:sz w:val="32"/>
          <w:szCs w:val="32"/>
          <w:highlight w:val="none"/>
        </w:rPr>
        <w:t>单位</w:t>
      </w:r>
      <w:r>
        <w:rPr>
          <w:rFonts w:hint="eastAsia" w:ascii="仿宋_GB2312" w:eastAsia="仿宋_GB2312"/>
          <w:color w:val="auto"/>
          <w:spacing w:val="0"/>
          <w:sz w:val="32"/>
          <w:szCs w:val="32"/>
          <w:highlight w:val="none"/>
          <w:lang w:val="en-US" w:eastAsia="zh-CN"/>
        </w:rPr>
        <w:t>包括</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0"/>
        </w:numPr>
        <w:kinsoku/>
        <w:wordWrap/>
        <w:overflowPunct/>
        <w:topLinePunct w:val="0"/>
        <w:bidi w:val="0"/>
        <w:adjustRightInd/>
        <w:snapToGrid/>
        <w:spacing w:line="240" w:lineRule="auto"/>
        <w:ind w:leftChars="304"/>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w:t>
      </w:r>
      <w:r>
        <w:rPr>
          <w:rFonts w:hint="default" w:ascii="仿宋_GB2312" w:eastAsia="仿宋_GB2312"/>
          <w:color w:val="auto"/>
          <w:spacing w:val="0"/>
          <w:sz w:val="32"/>
          <w:szCs w:val="32"/>
          <w:highlight w:val="none"/>
          <w:lang w:val="en-US" w:eastAsia="zh-CN"/>
        </w:rPr>
        <w:t>巴音郭楞蒙古自治州国土资源执法监察支队（本级）2.库尔勒市国土资源执法监察大队</w:t>
      </w:r>
    </w:p>
    <w:p>
      <w:pPr>
        <w:keepNext w:val="0"/>
        <w:keepLines w:val="0"/>
        <w:pageBreakBefore w:val="0"/>
        <w:widowControl w:val="0"/>
        <w:numPr>
          <w:ilvl w:val="0"/>
          <w:numId w:val="0"/>
        </w:numPr>
        <w:kinsoku/>
        <w:wordWrap/>
        <w:overflowPunct/>
        <w:topLinePunct w:val="0"/>
        <w:bidi w:val="0"/>
        <w:adjustRightInd/>
        <w:snapToGrid/>
        <w:spacing w:line="240" w:lineRule="auto"/>
        <w:ind w:leftChars="304"/>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3.和静县国土资源执法监察大队</w:t>
      </w:r>
    </w:p>
    <w:p>
      <w:pPr>
        <w:keepNext w:val="0"/>
        <w:keepLines w:val="0"/>
        <w:pageBreakBefore w:val="0"/>
        <w:widowControl w:val="0"/>
        <w:numPr>
          <w:ilvl w:val="0"/>
          <w:numId w:val="0"/>
        </w:numPr>
        <w:kinsoku/>
        <w:wordWrap/>
        <w:overflowPunct/>
        <w:topLinePunct w:val="0"/>
        <w:bidi w:val="0"/>
        <w:adjustRightInd/>
        <w:snapToGrid/>
        <w:spacing w:line="240" w:lineRule="auto"/>
        <w:ind w:leftChars="304"/>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4.和硕县国土资源执法监察大队</w:t>
      </w:r>
    </w:p>
    <w:p>
      <w:pPr>
        <w:keepNext w:val="0"/>
        <w:keepLines w:val="0"/>
        <w:pageBreakBefore w:val="0"/>
        <w:widowControl w:val="0"/>
        <w:numPr>
          <w:ilvl w:val="0"/>
          <w:numId w:val="0"/>
        </w:numPr>
        <w:kinsoku/>
        <w:wordWrap/>
        <w:overflowPunct/>
        <w:topLinePunct w:val="0"/>
        <w:bidi w:val="0"/>
        <w:adjustRightInd/>
        <w:snapToGrid/>
        <w:spacing w:line="240" w:lineRule="auto"/>
        <w:ind w:leftChars="304"/>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5.焉耆回族自治县国土资源执法监察大队</w:t>
      </w:r>
    </w:p>
    <w:p>
      <w:pPr>
        <w:keepNext w:val="0"/>
        <w:keepLines w:val="0"/>
        <w:pageBreakBefore w:val="0"/>
        <w:widowControl w:val="0"/>
        <w:numPr>
          <w:ilvl w:val="0"/>
          <w:numId w:val="0"/>
        </w:numPr>
        <w:kinsoku/>
        <w:wordWrap/>
        <w:overflowPunct/>
        <w:topLinePunct w:val="0"/>
        <w:bidi w:val="0"/>
        <w:adjustRightInd/>
        <w:snapToGrid/>
        <w:spacing w:line="240" w:lineRule="auto"/>
        <w:ind w:leftChars="304"/>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6.博湖县国土资源执法监察大队</w:t>
      </w:r>
    </w:p>
    <w:p>
      <w:pPr>
        <w:keepNext w:val="0"/>
        <w:keepLines w:val="0"/>
        <w:pageBreakBefore w:val="0"/>
        <w:widowControl w:val="0"/>
        <w:numPr>
          <w:ilvl w:val="0"/>
          <w:numId w:val="0"/>
        </w:numPr>
        <w:kinsoku/>
        <w:wordWrap/>
        <w:overflowPunct/>
        <w:topLinePunct w:val="0"/>
        <w:bidi w:val="0"/>
        <w:adjustRightInd/>
        <w:snapToGrid/>
        <w:spacing w:line="240" w:lineRule="auto"/>
        <w:ind w:leftChars="304"/>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7.尉犁县国土资源执法监察大队</w:t>
      </w:r>
    </w:p>
    <w:p>
      <w:pPr>
        <w:keepNext w:val="0"/>
        <w:keepLines w:val="0"/>
        <w:pageBreakBefore w:val="0"/>
        <w:widowControl w:val="0"/>
        <w:numPr>
          <w:ilvl w:val="0"/>
          <w:numId w:val="0"/>
        </w:numPr>
        <w:kinsoku/>
        <w:wordWrap/>
        <w:overflowPunct/>
        <w:topLinePunct w:val="0"/>
        <w:bidi w:val="0"/>
        <w:adjustRightInd/>
        <w:snapToGrid/>
        <w:spacing w:line="240" w:lineRule="auto"/>
        <w:ind w:leftChars="304"/>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8.轮台县国土资源执法监察大队</w:t>
      </w:r>
    </w:p>
    <w:p>
      <w:pPr>
        <w:keepNext w:val="0"/>
        <w:keepLines w:val="0"/>
        <w:pageBreakBefore w:val="0"/>
        <w:widowControl w:val="0"/>
        <w:numPr>
          <w:ilvl w:val="0"/>
          <w:numId w:val="0"/>
        </w:numPr>
        <w:kinsoku/>
        <w:wordWrap/>
        <w:overflowPunct/>
        <w:topLinePunct w:val="0"/>
        <w:bidi w:val="0"/>
        <w:adjustRightInd/>
        <w:snapToGrid/>
        <w:spacing w:line="240" w:lineRule="auto"/>
        <w:ind w:leftChars="304"/>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9.若羌县国土资源执法监察大队</w:t>
      </w:r>
    </w:p>
    <w:p>
      <w:pPr>
        <w:keepNext w:val="0"/>
        <w:keepLines w:val="0"/>
        <w:pageBreakBefore w:val="0"/>
        <w:widowControl w:val="0"/>
        <w:numPr>
          <w:ilvl w:val="0"/>
          <w:numId w:val="0"/>
        </w:numPr>
        <w:kinsoku/>
        <w:wordWrap/>
        <w:overflowPunct/>
        <w:topLinePunct w:val="0"/>
        <w:bidi w:val="0"/>
        <w:adjustRightInd/>
        <w:snapToGrid/>
        <w:spacing w:line="240" w:lineRule="auto"/>
        <w:ind w:leftChars="304"/>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10.且末县国土资源执法监察大队</w:t>
      </w:r>
    </w:p>
    <w:p>
      <w:pPr>
        <w:keepNext w:val="0"/>
        <w:keepLines w:val="0"/>
        <w:pageBreakBefore w:val="0"/>
        <w:widowControl w:val="0"/>
        <w:numPr>
          <w:ilvl w:val="0"/>
          <w:numId w:val="0"/>
        </w:numPr>
        <w:kinsoku/>
        <w:wordWrap/>
        <w:overflowPunct/>
        <w:topLinePunct w:val="0"/>
        <w:bidi w:val="0"/>
        <w:adjustRightInd/>
        <w:snapToGrid/>
        <w:spacing w:line="240" w:lineRule="auto"/>
        <w:ind w:leftChars="304"/>
        <w:textAlignment w:val="auto"/>
        <w:rPr>
          <w:rFonts w:hint="eastAsia" w:ascii="仿宋_GB2312" w:eastAsia="仿宋_GB2312"/>
          <w:color w:val="auto"/>
          <w:spacing w:val="0"/>
          <w:sz w:val="32"/>
          <w:szCs w:val="32"/>
          <w:highlight w:val="none"/>
          <w:lang w:val="en-US" w:eastAsia="zh-CN"/>
        </w:rPr>
      </w:pPr>
    </w:p>
    <w:p>
      <w:pPr>
        <w:keepNext w:val="0"/>
        <w:keepLines w:val="0"/>
        <w:pageBreakBefore w:val="0"/>
        <w:widowControl w:val="0"/>
        <w:numPr>
          <w:ilvl w:val="0"/>
          <w:numId w:val="0"/>
        </w:numPr>
        <w:kinsoku/>
        <w:wordWrap/>
        <w:overflowPunct/>
        <w:topLinePunct w:val="0"/>
        <w:bidi w:val="0"/>
        <w:adjustRightInd/>
        <w:snapToGrid/>
        <w:spacing w:line="240" w:lineRule="auto"/>
        <w:ind w:leftChars="304"/>
        <w:textAlignment w:val="auto"/>
        <w:rPr>
          <w:rFonts w:hint="eastAsia" w:ascii="仿宋_GB2312" w:eastAsia="仿宋_GB2312"/>
          <w:color w:val="auto"/>
          <w:spacing w:val="0"/>
          <w:sz w:val="32"/>
          <w:szCs w:val="32"/>
          <w:highlight w:val="none"/>
          <w:lang w:val="en-US" w:eastAsia="zh-CN"/>
        </w:rPr>
      </w:pPr>
    </w:p>
    <w:p>
      <w:pPr>
        <w:keepNext w:val="0"/>
        <w:keepLines w:val="0"/>
        <w:pageBreakBefore w:val="0"/>
        <w:widowControl w:val="0"/>
        <w:numPr>
          <w:ilvl w:val="0"/>
          <w:numId w:val="0"/>
        </w:numPr>
        <w:kinsoku/>
        <w:wordWrap/>
        <w:overflowPunct/>
        <w:topLinePunct w:val="0"/>
        <w:bidi w:val="0"/>
        <w:adjustRightInd/>
        <w:snapToGrid/>
        <w:spacing w:line="240" w:lineRule="auto"/>
        <w:ind w:leftChars="304"/>
        <w:textAlignment w:val="auto"/>
        <w:rPr>
          <w:rFonts w:hint="eastAsia" w:ascii="仿宋_GB2312" w:eastAsia="仿宋_GB2312"/>
          <w:color w:val="auto"/>
          <w:spacing w:val="0"/>
          <w:sz w:val="32"/>
          <w:szCs w:val="32"/>
          <w:highlight w:val="none"/>
          <w:lang w:val="en-US" w:eastAsia="zh-CN"/>
        </w:rPr>
      </w:pPr>
    </w:p>
    <w:p>
      <w:pPr>
        <w:keepNext w:val="0"/>
        <w:keepLines w:val="0"/>
        <w:pageBreakBefore w:val="0"/>
        <w:widowControl w:val="0"/>
        <w:numPr>
          <w:ilvl w:val="0"/>
          <w:numId w:val="0"/>
        </w:numPr>
        <w:kinsoku/>
        <w:wordWrap/>
        <w:overflowPunct/>
        <w:topLinePunct w:val="0"/>
        <w:bidi w:val="0"/>
        <w:adjustRightInd/>
        <w:snapToGrid/>
        <w:spacing w:line="240" w:lineRule="auto"/>
        <w:ind w:leftChars="304"/>
        <w:textAlignment w:val="auto"/>
        <w:rPr>
          <w:rFonts w:hint="default" w:ascii="仿宋_GB2312" w:eastAsia="仿宋_GB2312"/>
          <w:color w:val="auto"/>
          <w:spacing w:val="0"/>
          <w:sz w:val="32"/>
          <w:szCs w:val="32"/>
          <w:highlight w:val="none"/>
          <w:lang w:val="en-US" w:eastAsia="zh-CN"/>
        </w:rPr>
      </w:pPr>
    </w:p>
    <w:p>
      <w:pPr>
        <w:keepNext w:val="0"/>
        <w:keepLines w:val="0"/>
        <w:pageBreakBefore w:val="0"/>
        <w:widowControl w:val="0"/>
        <w:numPr>
          <w:ilvl w:val="0"/>
          <w:numId w:val="0"/>
        </w:numPr>
        <w:kinsoku/>
        <w:wordWrap/>
        <w:overflowPunct/>
        <w:topLinePunct w:val="0"/>
        <w:bidi w:val="0"/>
        <w:adjustRightInd/>
        <w:snapToGrid/>
        <w:spacing w:line="240" w:lineRule="auto"/>
        <w:ind w:leftChars="304"/>
        <w:textAlignment w:val="auto"/>
        <w:rPr>
          <w:rFonts w:hint="default" w:ascii="仿宋_GB2312" w:eastAsia="仿宋_GB2312"/>
          <w:color w:val="auto"/>
          <w:spacing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1,489.94万元，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1,419.28万元，使用非财政拨款结余0.00万元，年初结转和结余70.66万元。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1,489.94万元，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1,429.13万元，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0.00万元，年末结转和结余60.80万元。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增加126.02万元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增长9.24%</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1.202</w:t>
      </w:r>
      <w:r>
        <w:rPr>
          <w:rFonts w:hint="eastAsia" w:ascii="仿宋_GB2312" w:eastAsia="仿宋_GB2312"/>
          <w:sz w:val="32"/>
          <w:szCs w:val="32"/>
          <w:lang w:val="en-US" w:eastAsia="zh-CN"/>
        </w:rPr>
        <w:t>3</w:t>
      </w:r>
      <w:r>
        <w:rPr>
          <w:rFonts w:hint="eastAsia" w:ascii="仿宋_GB2312" w:eastAsia="仿宋_GB2312"/>
          <w:sz w:val="32"/>
          <w:szCs w:val="32"/>
        </w:rPr>
        <w:t>年度新招录公务员</w:t>
      </w:r>
      <w:r>
        <w:rPr>
          <w:rFonts w:hint="eastAsia" w:ascii="仿宋_GB2312" w:eastAsia="仿宋_GB2312"/>
          <w:sz w:val="32"/>
          <w:szCs w:val="32"/>
          <w:lang w:val="en-US" w:eastAsia="zh-CN"/>
        </w:rPr>
        <w:t>2</w:t>
      </w:r>
      <w:r>
        <w:rPr>
          <w:rFonts w:hint="eastAsia" w:ascii="仿宋_GB2312" w:eastAsia="仿宋_GB2312"/>
          <w:sz w:val="32"/>
          <w:szCs w:val="32"/>
        </w:rPr>
        <w:t>名，外系统调入人员1名，追加</w:t>
      </w:r>
      <w:r>
        <w:rPr>
          <w:rFonts w:hint="eastAsia" w:ascii="仿宋_GB2312" w:eastAsia="仿宋_GB2312"/>
          <w:sz w:val="32"/>
          <w:szCs w:val="32"/>
          <w:lang w:val="en-US" w:eastAsia="zh-CN"/>
        </w:rPr>
        <w:t>3</w:t>
      </w:r>
      <w:r>
        <w:rPr>
          <w:rFonts w:hint="eastAsia" w:ascii="仿宋_GB2312" w:eastAsia="仿宋_GB2312"/>
          <w:sz w:val="32"/>
          <w:szCs w:val="32"/>
        </w:rPr>
        <w:t>名在职人员经费，增加财政收入；</w:t>
      </w:r>
      <w:r>
        <w:rPr>
          <w:rFonts w:hint="eastAsia" w:ascii="仿宋_GB2312" w:eastAsia="仿宋_GB2312"/>
          <w:sz w:val="32"/>
          <w:szCs w:val="32"/>
        </w:rPr>
        <w:br w:type="textWrapping"/>
      </w:r>
      <w:r>
        <w:rPr>
          <w:rFonts w:hint="eastAsia" w:ascii="仿宋_GB2312" w:eastAsia="仿宋_GB2312"/>
          <w:sz w:val="32"/>
          <w:szCs w:val="32"/>
        </w:rPr>
        <w:t>2.调标增资追加本年增资经费、追加202</w:t>
      </w:r>
      <w:r>
        <w:rPr>
          <w:rFonts w:hint="eastAsia" w:ascii="仿宋_GB2312" w:eastAsia="仿宋_GB2312"/>
          <w:sz w:val="32"/>
          <w:szCs w:val="32"/>
          <w:lang w:val="en-US" w:eastAsia="zh-CN"/>
        </w:rPr>
        <w:t>2</w:t>
      </w:r>
      <w:r>
        <w:rPr>
          <w:rFonts w:hint="eastAsia" w:ascii="仿宋_GB2312" w:eastAsia="仿宋_GB2312"/>
          <w:sz w:val="32"/>
          <w:szCs w:val="32"/>
        </w:rPr>
        <w:t>年年度考核奖经费，增加财政收入；3.新增退休人员追加职业年金经费。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1,419.28</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1,419.13</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99.99</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0.15</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本年支出1,429.13万元，其中：基本支出1,197.72万元，占83.81%；项目支出231.41万元，占16.19%；上缴上级支出0.00万元，占0.00%；经营支出0.00万元，占0.00%；对附属单位补助支出0.00万元，占0.00%。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1,454.48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35.35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1,419.13</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1,454.48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53.94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1,400.54</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增加175.35万元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增长13.71%，</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1.202</w:t>
      </w:r>
      <w:r>
        <w:rPr>
          <w:rFonts w:hint="eastAsia" w:ascii="仿宋_GB2312" w:eastAsia="仿宋_GB2312"/>
          <w:sz w:val="32"/>
          <w:szCs w:val="32"/>
          <w:lang w:val="en-US" w:eastAsia="zh-CN"/>
        </w:rPr>
        <w:t>3</w:t>
      </w:r>
      <w:r>
        <w:rPr>
          <w:rFonts w:hint="eastAsia" w:ascii="仿宋_GB2312" w:eastAsia="仿宋_GB2312"/>
          <w:sz w:val="32"/>
          <w:szCs w:val="32"/>
        </w:rPr>
        <w:t>年度新招录公务员</w:t>
      </w:r>
      <w:r>
        <w:rPr>
          <w:rFonts w:hint="eastAsia" w:ascii="仿宋_GB2312" w:eastAsia="仿宋_GB2312"/>
          <w:sz w:val="32"/>
          <w:szCs w:val="32"/>
          <w:lang w:val="en-US" w:eastAsia="zh-CN"/>
        </w:rPr>
        <w:t>2</w:t>
      </w:r>
      <w:r>
        <w:rPr>
          <w:rFonts w:hint="eastAsia" w:ascii="仿宋_GB2312" w:eastAsia="仿宋_GB2312"/>
          <w:sz w:val="32"/>
          <w:szCs w:val="32"/>
        </w:rPr>
        <w:t>名，外系统调入人员1名，追加</w:t>
      </w:r>
      <w:r>
        <w:rPr>
          <w:rFonts w:hint="eastAsia" w:ascii="仿宋_GB2312" w:eastAsia="仿宋_GB2312"/>
          <w:sz w:val="32"/>
          <w:szCs w:val="32"/>
          <w:lang w:val="en-US" w:eastAsia="zh-CN"/>
        </w:rPr>
        <w:t>3</w:t>
      </w:r>
      <w:r>
        <w:rPr>
          <w:rFonts w:hint="eastAsia" w:ascii="仿宋_GB2312" w:eastAsia="仿宋_GB2312"/>
          <w:sz w:val="32"/>
          <w:szCs w:val="32"/>
        </w:rPr>
        <w:t>名在职人员经费，增加财政收入；2.调标增资追加本年增资经费、追加202</w:t>
      </w:r>
      <w:r>
        <w:rPr>
          <w:rFonts w:hint="eastAsia" w:ascii="仿宋_GB2312" w:eastAsia="仿宋_GB2312"/>
          <w:sz w:val="32"/>
          <w:szCs w:val="32"/>
          <w:lang w:val="en-US" w:eastAsia="zh-CN"/>
        </w:rPr>
        <w:t>2</w:t>
      </w:r>
      <w:r>
        <w:rPr>
          <w:rFonts w:hint="eastAsia" w:ascii="仿宋_GB2312" w:eastAsia="仿宋_GB2312"/>
          <w:sz w:val="32"/>
          <w:szCs w:val="32"/>
        </w:rPr>
        <w:t>年年度考核奖经费，增加财政收入；3.新增退休人员追加职业年金经费。</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1,263.56</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1,454.48</w:t>
      </w:r>
      <w:r>
        <w:rPr>
          <w:rFonts w:hint="eastAsia" w:ascii="仿宋_GB2312" w:eastAsia="仿宋_GB2312"/>
          <w:color w:val="auto"/>
          <w:spacing w:val="0"/>
          <w:sz w:val="32"/>
          <w:szCs w:val="32"/>
          <w:highlight w:val="none"/>
          <w:lang w:eastAsia="zh-CN"/>
        </w:rPr>
        <w:t>万元，预决算差异率15.11%，主要原因是：</w:t>
      </w:r>
      <w:r>
        <w:rPr>
          <w:rFonts w:hint="eastAsia" w:ascii="仿宋_GB2312" w:eastAsia="仿宋_GB2312"/>
          <w:sz w:val="32"/>
          <w:szCs w:val="32"/>
        </w:rPr>
        <w:t>1.202</w:t>
      </w:r>
      <w:r>
        <w:rPr>
          <w:rFonts w:hint="eastAsia" w:ascii="仿宋_GB2312" w:eastAsia="仿宋_GB2312"/>
          <w:sz w:val="32"/>
          <w:szCs w:val="32"/>
          <w:lang w:val="en-US" w:eastAsia="zh-CN"/>
        </w:rPr>
        <w:t>3</w:t>
      </w:r>
      <w:r>
        <w:rPr>
          <w:rFonts w:hint="eastAsia" w:ascii="仿宋_GB2312" w:eastAsia="仿宋_GB2312"/>
          <w:sz w:val="32"/>
          <w:szCs w:val="32"/>
        </w:rPr>
        <w:t>年度新招录公务员</w:t>
      </w:r>
      <w:r>
        <w:rPr>
          <w:rFonts w:hint="eastAsia" w:ascii="仿宋_GB2312" w:eastAsia="仿宋_GB2312"/>
          <w:sz w:val="32"/>
          <w:szCs w:val="32"/>
          <w:lang w:val="en-US" w:eastAsia="zh-CN"/>
        </w:rPr>
        <w:t>2</w:t>
      </w:r>
      <w:r>
        <w:rPr>
          <w:rFonts w:hint="eastAsia" w:ascii="仿宋_GB2312" w:eastAsia="仿宋_GB2312"/>
          <w:sz w:val="32"/>
          <w:szCs w:val="32"/>
        </w:rPr>
        <w:t>名，外系统调入人员1名，追加</w:t>
      </w:r>
      <w:r>
        <w:rPr>
          <w:rFonts w:hint="eastAsia" w:ascii="仿宋_GB2312" w:eastAsia="仿宋_GB2312"/>
          <w:sz w:val="32"/>
          <w:szCs w:val="32"/>
          <w:lang w:val="en-US" w:eastAsia="zh-CN"/>
        </w:rPr>
        <w:t>3</w:t>
      </w:r>
      <w:r>
        <w:rPr>
          <w:rFonts w:hint="eastAsia" w:ascii="仿宋_GB2312" w:eastAsia="仿宋_GB2312"/>
          <w:sz w:val="32"/>
          <w:szCs w:val="32"/>
        </w:rPr>
        <w:t>名在职人员经费，增加财政收入；2.调标增资追加本年增资经费、追加202</w:t>
      </w:r>
      <w:r>
        <w:rPr>
          <w:rFonts w:hint="eastAsia" w:ascii="仿宋_GB2312" w:eastAsia="仿宋_GB2312"/>
          <w:sz w:val="32"/>
          <w:szCs w:val="32"/>
          <w:lang w:val="en-US" w:eastAsia="zh-CN"/>
        </w:rPr>
        <w:t>2</w:t>
      </w:r>
      <w:r>
        <w:rPr>
          <w:rFonts w:hint="eastAsia" w:ascii="仿宋_GB2312" w:eastAsia="仿宋_GB2312"/>
          <w:sz w:val="32"/>
          <w:szCs w:val="32"/>
        </w:rPr>
        <w:t>年年度考核奖经费，增加财政收入；3.新增退休人员追加职业年金经费</w:t>
      </w:r>
      <w:r>
        <w:rPr>
          <w:rFonts w:hint="eastAsia" w:ascii="仿宋_GB2312" w:eastAsia="仿宋_GB2312"/>
          <w:sz w:val="32"/>
          <w:szCs w:val="32"/>
          <w:lang w:val="en-US" w:eastAsia="zh-CN"/>
        </w:rPr>
        <w:t>,导致</w:t>
      </w:r>
      <w:r>
        <w:rPr>
          <w:rFonts w:hint="eastAsia" w:ascii="仿宋_GB2312" w:eastAsia="仿宋_GB2312"/>
          <w:color w:val="auto"/>
          <w:spacing w:val="0"/>
          <w:sz w:val="32"/>
          <w:szCs w:val="32"/>
          <w:highlight w:val="none"/>
          <w:lang w:eastAsia="zh-CN"/>
        </w:rPr>
        <w:t>预决算</w:t>
      </w:r>
      <w:r>
        <w:rPr>
          <w:rFonts w:hint="eastAsia" w:ascii="仿宋_GB2312" w:eastAsia="仿宋_GB2312"/>
          <w:color w:val="auto"/>
          <w:spacing w:val="0"/>
          <w:sz w:val="32"/>
          <w:szCs w:val="32"/>
          <w:highlight w:val="none"/>
          <w:lang w:val="en-US" w:eastAsia="zh-CN"/>
        </w:rPr>
        <w:t>有</w:t>
      </w:r>
      <w:r>
        <w:rPr>
          <w:rFonts w:hint="eastAsia" w:ascii="仿宋_GB2312" w:eastAsia="仿宋_GB2312"/>
          <w:color w:val="auto"/>
          <w:spacing w:val="0"/>
          <w:sz w:val="32"/>
          <w:szCs w:val="32"/>
          <w:highlight w:val="none"/>
          <w:lang w:eastAsia="zh-CN"/>
        </w:rPr>
        <w:t>差异</w:t>
      </w:r>
      <w:bookmarkStart w:id="16" w:name="_Toc20360"/>
      <w:bookmarkStart w:id="17" w:name="_Toc13833"/>
      <w:r>
        <w:rPr>
          <w:rFonts w:hint="eastAsia" w:ascii="仿宋_GB2312" w:eastAsia="仿宋_GB2312"/>
          <w:color w:val="auto"/>
          <w:spacing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2023年度一般公共预算财政拨款支出1,400.54万元，占本年支出合计的</w:t>
      </w:r>
      <w:r>
        <w:rPr>
          <w:rFonts w:hint="eastAsia" w:ascii="仿宋_GB2312" w:eastAsia="仿宋_GB2312"/>
          <w:color w:val="auto"/>
          <w:spacing w:val="0"/>
          <w:sz w:val="32"/>
          <w:szCs w:val="32"/>
          <w:highlight w:val="none"/>
          <w:lang w:val="zh-CN" w:eastAsia="zh-CN"/>
        </w:rPr>
        <w:t>98.00%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增加156.76万元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增长12.60%，</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1.在职及聘用人员增加，社保医保及住房公积金缴费基数上调，相关经费支出增加；2.职务职级变动调整工资、补发调标增资、发放上年度考核奖、补发基础绩效奖等，增加财政支出；3.补缴退休人员职业年金单位缴费部分，增加本年财政支出；4.新增在职人员，相关人员经费支出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1,263.56</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1,400.54</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10.84%</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1.在职及聘用人员增加，社保医保及住房公积金缴费基数上调，相关经费支出增加；2.职务职级变动调整工资、补发调标增资、发放上年度考核奖、补发基础绩效奖等，增加财政支出；3.补缴退休人员职业年金单位缴费部分，增加本年财政支出；4.新增在职人员，相关人员经费支出增加</w:t>
      </w:r>
      <w:r>
        <w:rPr>
          <w:rFonts w:hint="eastAsia" w:ascii="仿宋_GB2312" w:eastAsia="仿宋_GB2312"/>
          <w:sz w:val="32"/>
          <w:szCs w:val="32"/>
          <w:lang w:eastAsia="zh-CN"/>
        </w:rPr>
        <w:t>，</w:t>
      </w:r>
      <w:r>
        <w:rPr>
          <w:rFonts w:hint="eastAsia" w:ascii="仿宋_GB2312" w:eastAsia="仿宋_GB2312"/>
          <w:sz w:val="32"/>
          <w:szCs w:val="32"/>
          <w:lang w:val="en-US" w:eastAsia="zh-CN"/>
        </w:rPr>
        <w:t>导致</w:t>
      </w:r>
      <w:r>
        <w:rPr>
          <w:rFonts w:hint="eastAsia" w:ascii="仿宋_GB2312" w:eastAsia="仿宋_GB2312"/>
          <w:color w:val="auto"/>
          <w:spacing w:val="0"/>
          <w:sz w:val="32"/>
          <w:szCs w:val="32"/>
          <w:highlight w:val="none"/>
          <w:lang w:eastAsia="zh-CN"/>
        </w:rPr>
        <w:t>预决算</w:t>
      </w:r>
      <w:r>
        <w:rPr>
          <w:rFonts w:hint="eastAsia" w:ascii="仿宋_GB2312" w:eastAsia="仿宋_GB2312"/>
          <w:color w:val="auto"/>
          <w:spacing w:val="0"/>
          <w:sz w:val="32"/>
          <w:szCs w:val="32"/>
          <w:highlight w:val="none"/>
          <w:lang w:val="en-US" w:eastAsia="zh-CN"/>
        </w:rPr>
        <w:t>有</w:t>
      </w:r>
      <w:r>
        <w:rPr>
          <w:rFonts w:hint="eastAsia" w:ascii="仿宋_GB2312" w:eastAsia="仿宋_GB2312"/>
          <w:color w:val="auto"/>
          <w:spacing w:val="0"/>
          <w:sz w:val="32"/>
          <w:szCs w:val="32"/>
          <w:highlight w:val="none"/>
          <w:lang w:eastAsia="zh-CN"/>
        </w:rPr>
        <w:t>差异</w:t>
      </w:r>
      <w:r>
        <w:rPr>
          <w:rFonts w:hint="eastAsia" w:ascii="仿宋_GB2312" w:eastAsia="仿宋_GB2312"/>
          <w:color w:val="auto"/>
          <w:spacing w:val="0"/>
          <w:sz w:val="32"/>
          <w:szCs w:val="32"/>
          <w:highlight w:val="none"/>
          <w:lang w:val="en-US"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183.87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13.13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91.56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6.54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1,052.18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75.13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Autospacing="0" w:after="0" w:afterAutospacing="0"/>
        <w:ind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72.93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5.21</w:t>
      </w:r>
      <w:r>
        <w:rPr>
          <w:rFonts w:hint="default" w:ascii="仿宋_GB2312" w:hAnsi="Times New Roman" w:eastAsia="仿宋_GB2312" w:cs="Times New Roman"/>
          <w:color w:val="auto"/>
          <w:spacing w:val="0"/>
          <w:kern w:val="2"/>
          <w:sz w:val="32"/>
          <w:szCs w:val="32"/>
          <w:highlight w:val="none"/>
          <w:lang w:val="zh-CN" w:eastAsia="zh-CN" w:bidi="ar-SA"/>
        </w:rPr>
        <w:t>%</w:t>
      </w:r>
      <w:r>
        <w:rPr>
          <w:rFonts w:hint="eastAsia" w:ascii="仿宋_GB2312"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1.卫生健康支出（类）行政事业单位医疗（款）行政单位医疗（项）:支出决算数为49.01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8.93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22.29%，主要原因是：</w:t>
      </w:r>
      <w:r>
        <w:rPr>
          <w:rFonts w:hint="eastAsia" w:ascii="仿宋_GB2312" w:eastAsia="仿宋_GB2312"/>
          <w:sz w:val="32"/>
          <w:szCs w:val="32"/>
        </w:rPr>
        <w:t>1.新增在职人员</w:t>
      </w:r>
      <w:r>
        <w:rPr>
          <w:rFonts w:hint="eastAsia" w:ascii="仿宋_GB2312" w:eastAsia="仿宋_GB2312"/>
          <w:sz w:val="32"/>
          <w:szCs w:val="32"/>
          <w:lang w:val="en-US" w:eastAsia="zh-CN"/>
        </w:rPr>
        <w:t>3</w:t>
      </w:r>
      <w:r>
        <w:rPr>
          <w:rFonts w:hint="eastAsia" w:ascii="仿宋_GB2312" w:eastAsia="仿宋_GB2312"/>
          <w:sz w:val="32"/>
          <w:szCs w:val="32"/>
        </w:rPr>
        <w:t>名，导致</w:t>
      </w:r>
      <w:r>
        <w:rPr>
          <w:rFonts w:hint="eastAsia" w:ascii="仿宋_GB2312" w:eastAsia="仿宋_GB2312"/>
          <w:sz w:val="32"/>
          <w:szCs w:val="32"/>
          <w:lang w:eastAsia="zh-CN"/>
        </w:rPr>
        <w:t>医疗</w:t>
      </w:r>
      <w:bookmarkStart w:id="48" w:name="_GoBack"/>
      <w:bookmarkEnd w:id="48"/>
      <w:r>
        <w:rPr>
          <w:rFonts w:hint="eastAsia" w:ascii="仿宋_GB2312" w:eastAsia="仿宋_GB2312"/>
          <w:sz w:val="32"/>
          <w:szCs w:val="32"/>
        </w:rPr>
        <w:t>缴费支出增加；2.调标增资、基础绩效上调，职务职级晋升，导致本年度行政单位医疗缴费基数上调，相关支出增加。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2.卫生健康支出（类）行政事业单位医疗（款）公务员医疗补助（项）:支出决算数为42.54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11.37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36.48%，主要原因是：</w:t>
      </w:r>
      <w:r>
        <w:rPr>
          <w:rFonts w:hint="eastAsia" w:ascii="仿宋_GB2312" w:eastAsia="仿宋_GB2312"/>
          <w:sz w:val="32"/>
          <w:szCs w:val="32"/>
        </w:rPr>
        <w:t>1.新增在职人员</w:t>
      </w:r>
      <w:r>
        <w:rPr>
          <w:rFonts w:hint="eastAsia" w:ascii="仿宋_GB2312" w:eastAsia="仿宋_GB2312"/>
          <w:sz w:val="32"/>
          <w:szCs w:val="32"/>
          <w:lang w:val="en-US" w:eastAsia="zh-CN"/>
        </w:rPr>
        <w:t>3</w:t>
      </w:r>
      <w:r>
        <w:rPr>
          <w:rFonts w:hint="eastAsia" w:ascii="仿宋_GB2312" w:eastAsia="仿宋_GB2312"/>
          <w:sz w:val="32"/>
          <w:szCs w:val="32"/>
        </w:rPr>
        <w:t>名，导致养老保险缴费支出增加；2.调标增资、基础绩效上调，职务职级晋升，导致本年度公务员医疗补助缴费基数上调，相关支出增加。</w:t>
      </w:r>
    </w:p>
    <w:p>
      <w:pPr>
        <w:ind w:firstLine="640" w:firstLineChars="200"/>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3.自然资源海洋气象等支出（类）自然资源事务（款）其他自然资源事务支出（项）:支出决算数为231.41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3.87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1.70%，主要原因是：</w:t>
      </w:r>
      <w:r>
        <w:rPr>
          <w:rFonts w:hint="eastAsia" w:eastAsia="仿宋_GB2312" w:cs="Times New Roman"/>
          <w:color w:val="auto"/>
          <w:kern w:val="2"/>
          <w:sz w:val="32"/>
          <w:szCs w:val="32"/>
          <w:highlight w:val="none"/>
          <w:lang w:val="en-US" w:eastAsia="zh-CN" w:bidi="ar-SA"/>
        </w:rPr>
        <w:t>本年度</w:t>
      </w:r>
      <w:r>
        <w:rPr>
          <w:rFonts w:hint="eastAsia" w:ascii="仿宋_GB2312" w:eastAsia="仿宋_GB2312"/>
          <w:sz w:val="32"/>
          <w:szCs w:val="32"/>
        </w:rPr>
        <w:t>执法工作业务量增加，相关项目经费支出增加，导致支出增加。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4.自然资源海洋气象等支出（类）自然资源事务（款）行政运行（项）:支出决算数为820.77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48.52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6.28%，主要原因是：</w:t>
      </w:r>
      <w:r>
        <w:rPr>
          <w:rFonts w:hint="eastAsia" w:ascii="仿宋_GB2312" w:eastAsia="仿宋_GB2312"/>
          <w:sz w:val="32"/>
          <w:szCs w:val="32"/>
        </w:rPr>
        <w:t>1.新增在职人员</w:t>
      </w:r>
      <w:r>
        <w:rPr>
          <w:rFonts w:hint="eastAsia" w:ascii="仿宋_GB2312" w:eastAsia="仿宋_GB2312"/>
          <w:sz w:val="32"/>
          <w:szCs w:val="32"/>
          <w:lang w:eastAsia="zh-CN"/>
        </w:rPr>
        <w:t>，人员</w:t>
      </w:r>
      <w:r>
        <w:rPr>
          <w:rFonts w:hint="eastAsia" w:ascii="仿宋_GB2312" w:eastAsia="仿宋_GB2312"/>
          <w:sz w:val="32"/>
          <w:szCs w:val="32"/>
        </w:rPr>
        <w:t>经费及公用经费支出增加</w:t>
      </w:r>
      <w:r>
        <w:rPr>
          <w:rFonts w:hint="eastAsia" w:ascii="仿宋_GB2312" w:eastAsia="仿宋_GB2312"/>
          <w:sz w:val="32"/>
          <w:szCs w:val="32"/>
          <w:lang w:eastAsia="zh-CN"/>
        </w:rPr>
        <w:t>；</w:t>
      </w:r>
      <w:r>
        <w:rPr>
          <w:rFonts w:hint="eastAsia" w:ascii="仿宋_GB2312" w:eastAsia="仿宋_GB2312"/>
          <w:sz w:val="32"/>
          <w:szCs w:val="32"/>
        </w:rPr>
        <w:t>2.工资调标增资、职务职级变动、基础绩效奖及年度考核奖标准上调。</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5.住房保障支出（类）住房改革支出（款）住房公积金（项）:支出决算数为72.93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17.38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31.29%，主要原因是：</w:t>
      </w:r>
      <w:r>
        <w:rPr>
          <w:rFonts w:hint="eastAsia" w:ascii="仿宋_GB2312" w:eastAsia="仿宋_GB2312"/>
          <w:sz w:val="32"/>
          <w:szCs w:val="32"/>
          <w:lang w:val="en-US" w:eastAsia="zh-CN"/>
        </w:rPr>
        <w:t>新增在职人员3名，导致人员经费支出较上年增加</w:t>
      </w:r>
      <w:r>
        <w:rPr>
          <w:rFonts w:hint="eastAsia" w:ascii="仿宋_GB2312" w:eastAsia="仿宋_GB2312"/>
          <w:sz w:val="32"/>
          <w:szCs w:val="32"/>
        </w:rPr>
        <w:t>；2.调标增资、基础绩效上调，职务职级晋升，导致本年度住房公积金缴费基数上调，相关支出增加。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6.社会保障和就业支出（类）行政事业单位养老支出（款）行政单位离退休（项）:支出决算数为36.59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0.35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0.96%，主要原因是：</w:t>
      </w:r>
      <w:r>
        <w:rPr>
          <w:rFonts w:hint="eastAsia" w:ascii="仿宋_GB2312" w:eastAsia="仿宋_GB2312"/>
          <w:sz w:val="32"/>
          <w:szCs w:val="32"/>
        </w:rPr>
        <w:t>1.新增退休人员，行政单位离退休费支出较上年增加；2.退休人员工资上调，导致行政单位离退休费支出较上年增加。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sz w:val="32"/>
          <w:szCs w:val="32"/>
          <w:lang w:eastAsia="zh-CN"/>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7.社会保障和就业支出（类）行政事业单位养老支出（款）机关事业单位职业年金缴费支出（项）:支出决算数为50.03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44.31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774.42%，主要原因是：</w:t>
      </w:r>
      <w:r>
        <w:rPr>
          <w:rFonts w:hint="eastAsia" w:ascii="仿宋_GB2312" w:eastAsia="仿宋_GB2312"/>
          <w:sz w:val="32"/>
          <w:szCs w:val="32"/>
        </w:rPr>
        <w:t>新增退休人员，</w:t>
      </w:r>
      <w:r>
        <w:rPr>
          <w:rFonts w:hint="eastAsia" w:ascii="Times New Roman" w:hAnsi="Times New Roman" w:eastAsia="仿宋_GB2312" w:cs="Times New Roman"/>
          <w:color w:val="auto"/>
          <w:kern w:val="2"/>
          <w:sz w:val="32"/>
          <w:szCs w:val="32"/>
          <w:highlight w:val="none"/>
          <w:lang w:val="en-US" w:eastAsia="zh-CN" w:bidi="ar-SA"/>
        </w:rPr>
        <w:t>机关事业单位职业年金缴费</w:t>
      </w:r>
      <w:r>
        <w:rPr>
          <w:rFonts w:hint="eastAsia" w:ascii="仿宋_GB2312" w:eastAsia="仿宋_GB2312"/>
          <w:sz w:val="32"/>
          <w:szCs w:val="32"/>
        </w:rPr>
        <w:t>支出较上年增加</w:t>
      </w:r>
      <w:r>
        <w:rPr>
          <w:rFonts w:hint="eastAsia" w:ascii="仿宋_GB2312"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8.社会保障和就业支出（类）行政事业单位养老支出（款）机关事业单位基本养老保险缴费支出（项）:支出决算数为97.24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23.18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31.29%，主要原因是：</w:t>
      </w:r>
      <w:r>
        <w:rPr>
          <w:rFonts w:hint="eastAsia" w:ascii="仿宋_GB2312" w:eastAsia="仿宋_GB2312"/>
          <w:sz w:val="32"/>
          <w:szCs w:val="32"/>
        </w:rPr>
        <w:t>1.新增在职人员</w:t>
      </w:r>
      <w:r>
        <w:rPr>
          <w:rFonts w:hint="eastAsia" w:ascii="仿宋_GB2312" w:eastAsia="仿宋_GB2312"/>
          <w:sz w:val="32"/>
          <w:szCs w:val="32"/>
          <w:lang w:val="en-US" w:eastAsia="zh-CN"/>
        </w:rPr>
        <w:t>3</w:t>
      </w:r>
      <w:r>
        <w:rPr>
          <w:rFonts w:hint="eastAsia" w:ascii="仿宋_GB2312" w:eastAsia="仿宋_GB2312"/>
          <w:sz w:val="32"/>
          <w:szCs w:val="32"/>
        </w:rPr>
        <w:t>名，导致养老保险缴费支出增加；2.调标增资、基础绩效上调，职务职级晋升，导致本年度养老保险缴费基数上调，养老保险缴费支出增加。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9.卫生健康支出（类）卫生健康管理事务（款）行政运行（项）:支出决算数为0.00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1.16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w:t>
      </w:r>
      <w:r>
        <w:rPr>
          <w:rFonts w:hint="eastAsia" w:eastAsia="仿宋_GB2312" w:cs="Times New Roman"/>
          <w:color w:val="auto"/>
          <w:kern w:val="2"/>
          <w:sz w:val="32"/>
          <w:szCs w:val="32"/>
          <w:highlight w:val="none"/>
          <w:lang w:val="en-US" w:eastAsia="zh-CN" w:bidi="ar-SA"/>
        </w:rPr>
        <w:t>0.00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sz w:val="32"/>
          <w:szCs w:val="32"/>
          <w:lang w:val="en-US" w:eastAsia="zh-CN"/>
        </w:rPr>
        <w:t>上</w:t>
      </w:r>
      <w:r>
        <w:rPr>
          <w:rFonts w:hint="eastAsia" w:ascii="仿宋_GB2312" w:eastAsia="仿宋_GB2312"/>
          <w:sz w:val="32"/>
          <w:szCs w:val="32"/>
        </w:rPr>
        <w:t>年度预算错选科目为相近编码的同名科目，</w:t>
      </w:r>
      <w:r>
        <w:rPr>
          <w:rFonts w:hint="eastAsia" w:ascii="仿宋_GB2312" w:eastAsia="仿宋_GB2312"/>
          <w:sz w:val="32"/>
          <w:szCs w:val="32"/>
          <w:lang w:val="en-US" w:eastAsia="zh-CN"/>
        </w:rPr>
        <w:t>本年度</w:t>
      </w:r>
      <w:r>
        <w:rPr>
          <w:rFonts w:hint="eastAsia" w:ascii="仿宋_GB2312" w:eastAsia="仿宋_GB2312"/>
          <w:sz w:val="32"/>
          <w:szCs w:val="32"/>
        </w:rPr>
        <w:t>已更正科目</w:t>
      </w:r>
      <w:r>
        <w:rPr>
          <w:rFonts w:hint="eastAsia" w:ascii="仿宋_GB2312"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1,169.13</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1,099.20</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伙食补助费、机关事业单位基本养老保险缴费、职业年金缴费、职工基本医疗保险缴费、公务员医疗补助缴费、其他社会保障缴费、住房公积金、其他工资福利支出、退休费、生活补助、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69.93</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办公费、电费、邮电费、取暖费、差旅费、工会经费、福利费、其他交通费用、其他商品和服务支出</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ind w:firstLine="640" w:firstLineChars="200"/>
        <w:rPr>
          <w:rFonts w:ascii="仿宋_GB2312" w:eastAsia="仿宋_GB2312"/>
          <w:sz w:val="32"/>
          <w:szCs w:val="32"/>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sz w:val="32"/>
          <w:szCs w:val="32"/>
        </w:rPr>
        <w:t>我单位无财政拨款“三公”经费支出</w:t>
      </w:r>
      <w:r>
        <w:rPr>
          <w:rFonts w:hint="eastAsia" w:ascii="仿宋_GB2312" w:eastAsia="仿宋_GB2312"/>
          <w:sz w:val="32"/>
          <w:szCs w:val="32"/>
        </w:rPr>
        <w:t>。其中：因公出国（境）费支出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我单位无因公出国（境）费</w:t>
      </w:r>
      <w:r>
        <w:rPr>
          <w:rFonts w:hint="eastAsia" w:ascii="仿宋_GB2312" w:eastAsia="仿宋_GB2312"/>
          <w:sz w:val="32"/>
          <w:szCs w:val="32"/>
        </w:rPr>
        <w:t>；公务用车购置及运行维护费支出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我单位无公务用车购置及运行维护费</w:t>
      </w:r>
      <w:r>
        <w:rPr>
          <w:rFonts w:hint="eastAsia" w:ascii="仿宋_GB2312" w:eastAsia="仿宋_GB2312"/>
          <w:sz w:val="32"/>
          <w:szCs w:val="32"/>
        </w:rPr>
        <w:t>；公务接待费支出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我单位无公务接待费</w:t>
      </w:r>
      <w:r>
        <w:rPr>
          <w:rFonts w:hint="eastAsia" w:ascii="仿宋_GB2312" w:eastAsia="仿宋_GB2312"/>
          <w:sz w:val="32"/>
          <w:szCs w:val="32"/>
        </w:rPr>
        <w:t>。具体情况如下：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sz w:val="32"/>
          <w:szCs w:val="32"/>
        </w:rPr>
        <w:t>公务用车购置及运行维护费</w:t>
      </w:r>
      <w:r>
        <w:rPr>
          <w:rFonts w:ascii="仿宋_GB2312" w:eastAsia="仿宋_GB2312"/>
          <w:sz w:val="32"/>
          <w:szCs w:val="32"/>
        </w:rPr>
        <w:t>0.00</w:t>
      </w:r>
      <w:r>
        <w:rPr>
          <w:rFonts w:hint="eastAsia" w:ascii="仿宋_GB2312" w:eastAsia="仿宋_GB2312"/>
          <w:sz w:val="32"/>
          <w:szCs w:val="32"/>
        </w:rPr>
        <w:t>万元，其中：公务用车购置费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0.00</w:t>
      </w:r>
      <w:r>
        <w:rPr>
          <w:rFonts w:hint="eastAsia" w:ascii="仿宋_GB2312" w:eastAsia="仿宋_GB2312"/>
          <w:sz w:val="32"/>
          <w:szCs w:val="32"/>
        </w:rPr>
        <w:t>万元。公务用车运行维护费开支内容包括我单位无公务用车运行维护费。公务用车购置数</w:t>
      </w:r>
      <w:r>
        <w:rPr>
          <w:rFonts w:ascii="仿宋_GB2312" w:eastAsia="仿宋_GB2312"/>
          <w:sz w:val="32"/>
          <w:szCs w:val="32"/>
        </w:rPr>
        <w:t>0</w:t>
      </w:r>
      <w:r>
        <w:rPr>
          <w:rFonts w:hint="eastAsia" w:ascii="仿宋_GB2312" w:eastAsia="仿宋_GB2312"/>
          <w:sz w:val="32"/>
          <w:szCs w:val="32"/>
        </w:rPr>
        <w:t>辆，公务用车保有量0辆</w:t>
      </w:r>
      <w:r>
        <w:rPr>
          <w:rFonts w:hint="eastAsia" w:ascii="仿宋_GB2312" w:eastAsia="仿宋_GB2312"/>
          <w:color w:val="auto"/>
          <w:sz w:val="32"/>
          <w:szCs w:val="32"/>
          <w:highlight w:val="none"/>
          <w:lang w:val="zh-CN" w:eastAsia="zh-CN"/>
        </w:rPr>
        <w:t>。国有资产占用情况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20辆，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我单位车辆为执法执勤用车和后勤车</w:t>
      </w:r>
      <w:r>
        <w:rPr>
          <w:rFonts w:hint="eastAsia" w:eastAsia="仿宋_GB2312" w:cs="Times New Roman"/>
          <w:color w:val="auto"/>
          <w:sz w:val="32"/>
          <w:szCs w:val="32"/>
          <w:highlight w:val="none"/>
          <w:lang w:val="zh-CN" w:eastAsia="zh-CN"/>
        </w:rPr>
        <w:t>，</w:t>
      </w:r>
      <w:r>
        <w:rPr>
          <w:rFonts w:hint="eastAsia" w:ascii="仿宋_GB2312" w:eastAsia="仿宋_GB2312"/>
          <w:color w:val="auto"/>
          <w:sz w:val="32"/>
          <w:szCs w:val="32"/>
          <w:highlight w:val="none"/>
          <w:lang w:val="en-US" w:eastAsia="zh-CN"/>
        </w:rPr>
        <w:t>不属于公务用车，使用其他交通费，支付燃油及维修费。</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sz w:val="32"/>
          <w:szCs w:val="32"/>
        </w:rPr>
        <w:t>与全年预算数相比情况：“三公”经费支出全年预算数0.00万元，决算数</w:t>
      </w:r>
      <w:r>
        <w:rPr>
          <w:rFonts w:ascii="仿宋_GB2312" w:eastAsia="仿宋_GB2312"/>
          <w:sz w:val="32"/>
          <w:szCs w:val="32"/>
        </w:rPr>
        <w:t>0.00</w:t>
      </w:r>
      <w:r>
        <w:rPr>
          <w:rFonts w:hint="eastAsia" w:ascii="仿宋_GB2312" w:eastAsia="仿宋_GB2312"/>
          <w:sz w:val="32"/>
          <w:szCs w:val="32"/>
        </w:rPr>
        <w:t>万元，预决算差异率0.00%，主要原因是：我单位无财政拨款“三公”经费支出。</w:t>
      </w:r>
      <w:r>
        <w:rPr>
          <w:rFonts w:hint="eastAsia" w:ascii="仿宋_GB2312" w:hAnsi="宋体" w:eastAsia="仿宋_GB2312" w:cs="宋体"/>
          <w:kern w:val="0"/>
          <w:sz w:val="32"/>
          <w:szCs w:val="32"/>
        </w:rPr>
        <w:t>其中：因公出国（境）费全年预算数</w:t>
      </w:r>
      <w:r>
        <w:rPr>
          <w:rFonts w:hint="eastAsia" w:ascii="仿宋_GB2312" w:eastAsia="仿宋_GB2312"/>
          <w:sz w:val="32"/>
          <w:szCs w:val="32"/>
        </w:rPr>
        <w:t>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费全年预算数0.00万元，决算数0.00万元，预决算差异率0.00%，主要原因是：我单位无公务用车购置费；</w:t>
      </w:r>
      <w:r>
        <w:rPr>
          <w:rFonts w:hint="eastAsia" w:ascii="仿宋_GB2312" w:hAnsi="宋体" w:eastAsia="仿宋_GB2312" w:cs="宋体"/>
          <w:kern w:val="0"/>
          <w:sz w:val="32"/>
          <w:szCs w:val="32"/>
        </w:rPr>
        <w:t>公务用车运行费全年</w:t>
      </w:r>
      <w:r>
        <w:rPr>
          <w:rFonts w:hint="eastAsia" w:ascii="仿宋_GB2312" w:eastAsia="仿宋_GB2312"/>
          <w:sz w:val="32"/>
          <w:szCs w:val="32"/>
        </w:rPr>
        <w:t>预算数0.00万元，决算数0.00万元，预决算差异率0.00%，主要原因是：我单位无公务用车运行维护费；</w:t>
      </w:r>
      <w:r>
        <w:rPr>
          <w:rFonts w:hint="eastAsia" w:ascii="仿宋_GB2312" w:hAnsi="宋体" w:eastAsia="仿宋_GB2312" w:cs="宋体"/>
          <w:kern w:val="0"/>
          <w:sz w:val="32"/>
          <w:szCs w:val="32"/>
        </w:rPr>
        <w:t>公务接待费全年</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巴音郭楞蒙古自治州国土资源执法监察支队（行政单位和参照公务员法管理事业单位）机关运行经费支出69.93万元，比上年增加8.58万元，增长13.98%,主要原因是：</w:t>
      </w:r>
      <w:r>
        <w:rPr>
          <w:rFonts w:hint="eastAsia" w:ascii="仿宋_GB2312" w:eastAsia="仿宋_GB2312"/>
          <w:sz w:val="32"/>
          <w:szCs w:val="32"/>
        </w:rPr>
        <w:t>1.在职人员增加相关经费支出增加</w:t>
      </w:r>
      <w:r>
        <w:rPr>
          <w:rFonts w:hint="eastAsia" w:ascii="仿宋_GB2312" w:eastAsia="仿宋_GB2312"/>
          <w:sz w:val="32"/>
          <w:szCs w:val="32"/>
          <w:lang w:eastAsia="zh-CN"/>
        </w:rPr>
        <w:t>；</w:t>
      </w:r>
      <w:r>
        <w:rPr>
          <w:rFonts w:hint="eastAsia" w:ascii="仿宋_GB2312" w:eastAsia="仿宋_GB2312"/>
          <w:sz w:val="32"/>
          <w:szCs w:val="32"/>
        </w:rPr>
        <w:t>2.人员职务职级变动、工资变动调增，经费测算基数上调，相关经费支出增加。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911.58</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屋1056.06平方米，价值263.16万元。车辆20辆，价值377.73万元，其中：副部（省）级及以上领导用车0辆、主要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用车0辆、其他用车10辆，其他用车主要是：</w:t>
      </w:r>
      <w:r>
        <w:rPr>
          <w:rFonts w:hint="eastAsia" w:ascii="仿宋_GB2312" w:eastAsia="仿宋_GB2312"/>
          <w:sz w:val="32"/>
          <w:szCs w:val="32"/>
        </w:rPr>
        <w:t>后勤保障用车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我部门无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我部门无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我部门无</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授予中小企业合同金额、授予小微企业合同金额为0.00万元，主要原因是：我部门为自治区垂直管理单位，属于自治区外派机构实行驻地采购方式，不在自治区集中采购范围内，所以无政府采购相关情况。</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ZDYwNjg1ZjU0OWUzODg2NDlmOWVjNTUxNzAxMzI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6BC589A"/>
    <w:rsid w:val="07093795"/>
    <w:rsid w:val="07804730"/>
    <w:rsid w:val="079052BE"/>
    <w:rsid w:val="08145C21"/>
    <w:rsid w:val="08422688"/>
    <w:rsid w:val="085854ED"/>
    <w:rsid w:val="0879188F"/>
    <w:rsid w:val="08A0354D"/>
    <w:rsid w:val="08CD4C49"/>
    <w:rsid w:val="09114954"/>
    <w:rsid w:val="095A5B83"/>
    <w:rsid w:val="096466E3"/>
    <w:rsid w:val="0968304D"/>
    <w:rsid w:val="09696411"/>
    <w:rsid w:val="09AF3D17"/>
    <w:rsid w:val="0A7809B7"/>
    <w:rsid w:val="0A7B4867"/>
    <w:rsid w:val="0A840954"/>
    <w:rsid w:val="0A9928ED"/>
    <w:rsid w:val="0B61769D"/>
    <w:rsid w:val="0B8111E1"/>
    <w:rsid w:val="0B8C3ECC"/>
    <w:rsid w:val="0B9C639D"/>
    <w:rsid w:val="0BB052B2"/>
    <w:rsid w:val="0BD33FFC"/>
    <w:rsid w:val="0BE97AC1"/>
    <w:rsid w:val="0C1C4780"/>
    <w:rsid w:val="0C3613A3"/>
    <w:rsid w:val="0C5E519C"/>
    <w:rsid w:val="0C7227A7"/>
    <w:rsid w:val="0C8E538B"/>
    <w:rsid w:val="0CA52EE8"/>
    <w:rsid w:val="0CBD6988"/>
    <w:rsid w:val="0CD208AC"/>
    <w:rsid w:val="0D4903E8"/>
    <w:rsid w:val="0D7A4A46"/>
    <w:rsid w:val="0DDC6682"/>
    <w:rsid w:val="0E5B6F7F"/>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22BB8"/>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737635"/>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AFA6F3E"/>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BD77FB"/>
    <w:rsid w:val="34C13589"/>
    <w:rsid w:val="353369E3"/>
    <w:rsid w:val="35E00D72"/>
    <w:rsid w:val="36950828"/>
    <w:rsid w:val="36965B9D"/>
    <w:rsid w:val="36C549FD"/>
    <w:rsid w:val="37A755DD"/>
    <w:rsid w:val="37ED55BC"/>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4A210A"/>
    <w:rsid w:val="405470BD"/>
    <w:rsid w:val="40794A29"/>
    <w:rsid w:val="40834692"/>
    <w:rsid w:val="41431AD5"/>
    <w:rsid w:val="414B3C0F"/>
    <w:rsid w:val="417C1CE7"/>
    <w:rsid w:val="41900018"/>
    <w:rsid w:val="41944406"/>
    <w:rsid w:val="41CE128F"/>
    <w:rsid w:val="41DA6F12"/>
    <w:rsid w:val="42171FB1"/>
    <w:rsid w:val="422C6590"/>
    <w:rsid w:val="422C70A9"/>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156BB5"/>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DDD4AEC"/>
    <w:rsid w:val="5E7E6D93"/>
    <w:rsid w:val="5ED44800"/>
    <w:rsid w:val="5F350BDE"/>
    <w:rsid w:val="5F61632C"/>
    <w:rsid w:val="5FA17648"/>
    <w:rsid w:val="5FE705CB"/>
    <w:rsid w:val="603D5080"/>
    <w:rsid w:val="60D0261B"/>
    <w:rsid w:val="60E9088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948EC"/>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6529</Words>
  <Characters>7280</Characters>
  <Lines>0</Lines>
  <Paragraphs>0</Paragraphs>
  <TotalTime>0</TotalTime>
  <ScaleCrop>false</ScaleCrop>
  <LinksUpToDate>false</LinksUpToDate>
  <CharactersWithSpaces>7302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2024-09-07T15:51:16Z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