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B4515">
      <w:pPr>
        <w:rPr>
          <w:rFonts w:ascii="黑体" w:hAnsi="黑体" w:eastAsia="黑体"/>
          <w:sz w:val="32"/>
          <w:szCs w:val="32"/>
        </w:rPr>
      </w:pPr>
    </w:p>
    <w:p w14:paraId="1E77E2D6">
      <w:pPr>
        <w:jc w:val="center"/>
        <w:rPr>
          <w:rFonts w:ascii="方正小标宋_GBK" w:hAnsi="宋体" w:eastAsia="方正小标宋_GBK"/>
          <w:sz w:val="44"/>
          <w:szCs w:val="44"/>
        </w:rPr>
      </w:pPr>
    </w:p>
    <w:p w14:paraId="2FA1D43B">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新疆维吾尔自治区国土资源执法监察总队</w:t>
      </w:r>
    </w:p>
    <w:p w14:paraId="6ABA578C">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22FA3195">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08CBBA80">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6733E9A5">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3294B2D">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B81A05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3DC4B6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B40414C">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5C163B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E67724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A3612D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2857B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797849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1F5ED1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26C00E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05D6D3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B09CEA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D9A8A47">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FE5821">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D961DBB">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8480AD9">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B38DD0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36DD1C1">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7F0579E">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6FBEC98">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9435CB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508DCB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96FF8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180B2D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73694F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268A25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011124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2C58723">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7D299B6">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75878F1">
      <w:r>
        <w:rPr>
          <w:rFonts w:hint="eastAsia" w:ascii="仿宋_GB2312" w:hAnsi="仿宋_GB2312" w:eastAsia="仿宋_GB2312" w:cs="仿宋_GB2312"/>
          <w:sz w:val="32"/>
          <w:szCs w:val="32"/>
        </w:rPr>
        <w:fldChar w:fldCharType="end"/>
      </w:r>
    </w:p>
    <w:p w14:paraId="212489AB">
      <w:pPr>
        <w:rPr>
          <w:rFonts w:ascii="仿宋_GB2312" w:eastAsia="仿宋_GB2312"/>
          <w:sz w:val="32"/>
          <w:szCs w:val="32"/>
        </w:rPr>
      </w:pPr>
      <w:r>
        <w:rPr>
          <w:rFonts w:hint="eastAsia" w:ascii="仿宋_GB2312" w:eastAsia="仿宋_GB2312"/>
          <w:sz w:val="32"/>
          <w:szCs w:val="32"/>
        </w:rPr>
        <w:br w:type="page"/>
      </w:r>
    </w:p>
    <w:p w14:paraId="60FE26E8">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76CB9FA">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C74FDC1">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自治区国土资源执法监察总队，为自治区国土资源厅副厅级单位，参照公务员管理的事业单位。自治区以下国土资源执法监察机构实行垂直管理，统一履行自治区国土资源执法监察职能。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2.组织和实施对全区土地、矿产资源法律、法规、规章情况的巡查，及时发现和制止土地、矿产资源违法行为。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3.依法组织和实施自治区重大土地、矿产资源违法案件的调查、取证、现场勘验工作，并提交自治区土地、矿产资源重大违法案件调查报告和查处意见。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4.负责自治区重大土地、矿产资源违法案件查处决定的督办。</w:t>
      </w:r>
      <w:r>
        <w:rPr>
          <w:rFonts w:ascii="仿宋_GB2312" w:eastAsia="仿宋_GB2312"/>
          <w:sz w:val="32"/>
          <w:szCs w:val="32"/>
        </w:rPr>
        <w:br w:type="textWrapping"/>
      </w:r>
      <w:r>
        <w:rPr>
          <w:rFonts w:ascii="仿宋_GB2312" w:eastAsia="仿宋_GB2312"/>
          <w:sz w:val="32"/>
          <w:szCs w:val="32"/>
        </w:rPr>
        <w:t>　　5.领导自治区以下国土资源执法监察机构，负责全区国土资源执法监察队伍建设，统一管理全区国土资源执法监察机构的机构编制，人员、经费和内部审计</w:t>
      </w:r>
      <w:r>
        <w:rPr>
          <w:rFonts w:hint="eastAsia" w:ascii="仿宋_GB2312" w:eastAsia="仿宋_GB2312"/>
          <w:sz w:val="32"/>
          <w:szCs w:val="32"/>
        </w:rPr>
        <w:t>。</w:t>
      </w:r>
    </w:p>
    <w:p w14:paraId="33EECACE">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AC9E7E3">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新疆维吾尔自治区国土资源执法监察总队2023年度，实有人数</w:t>
      </w:r>
      <w:r>
        <w:rPr>
          <w:rFonts w:hint="eastAsia" w:ascii="仿宋_GB2312" w:eastAsia="仿宋_GB2312"/>
          <w:sz w:val="32"/>
          <w:szCs w:val="32"/>
          <w:lang w:val="zh-CN"/>
        </w:rPr>
        <w:t>43</w:t>
      </w:r>
      <w:r>
        <w:rPr>
          <w:rFonts w:hint="eastAsia" w:ascii="仿宋_GB2312" w:eastAsia="仿宋_GB2312"/>
          <w:sz w:val="32"/>
          <w:szCs w:val="32"/>
        </w:rPr>
        <w:t>人，其中：在职人员</w:t>
      </w:r>
      <w:r>
        <w:rPr>
          <w:rFonts w:hint="eastAsia" w:ascii="仿宋_GB2312" w:eastAsia="仿宋_GB2312"/>
          <w:sz w:val="32"/>
          <w:szCs w:val="32"/>
          <w:lang w:val="zh-CN"/>
        </w:rPr>
        <w:t>26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17</w:t>
      </w:r>
      <w:r>
        <w:rPr>
          <w:rFonts w:hint="eastAsia" w:ascii="仿宋_GB2312" w:eastAsia="仿宋_GB2312"/>
          <w:sz w:val="32"/>
          <w:szCs w:val="32"/>
        </w:rPr>
        <w:t>人。</w:t>
      </w:r>
    </w:p>
    <w:p w14:paraId="28ADD917">
      <w:pPr>
        <w:ind w:firstLine="640" w:firstLineChars="200"/>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个处室，分别是：办公室、人事</w:t>
      </w:r>
      <w:r>
        <w:rPr>
          <w:rFonts w:hint="eastAsia" w:ascii="仿宋_GB2312" w:hAnsi="黑体" w:eastAsia="仿宋_GB2312" w:cs="宋体"/>
          <w:bCs/>
          <w:kern w:val="0"/>
          <w:sz w:val="32"/>
          <w:szCs w:val="32"/>
          <w:lang w:eastAsia="zh-CN"/>
        </w:rPr>
        <w:t>教育</w:t>
      </w:r>
      <w:r>
        <w:rPr>
          <w:rFonts w:hint="eastAsia" w:ascii="仿宋_GB2312" w:hAnsi="黑体" w:eastAsia="仿宋_GB2312" w:cs="宋体"/>
          <w:bCs/>
          <w:kern w:val="0"/>
          <w:sz w:val="32"/>
          <w:szCs w:val="32"/>
        </w:rPr>
        <w:t>处、监察室、土地执法</w:t>
      </w:r>
      <w:r>
        <w:rPr>
          <w:rFonts w:hint="eastAsia" w:ascii="仿宋_GB2312" w:hAnsi="黑体" w:eastAsia="仿宋_GB2312" w:cs="宋体"/>
          <w:bCs/>
          <w:kern w:val="0"/>
          <w:sz w:val="32"/>
          <w:szCs w:val="32"/>
          <w:lang w:eastAsia="zh-CN"/>
        </w:rPr>
        <w:t>监察</w:t>
      </w:r>
      <w:r>
        <w:rPr>
          <w:rFonts w:hint="eastAsia" w:ascii="仿宋_GB2312" w:hAnsi="黑体" w:eastAsia="仿宋_GB2312" w:cs="宋体"/>
          <w:bCs/>
          <w:kern w:val="0"/>
          <w:sz w:val="32"/>
          <w:szCs w:val="32"/>
        </w:rPr>
        <w:t>处、矿产执法</w:t>
      </w:r>
      <w:r>
        <w:rPr>
          <w:rFonts w:hint="eastAsia" w:ascii="仿宋_GB2312" w:hAnsi="黑体" w:eastAsia="仿宋_GB2312" w:cs="宋体"/>
          <w:bCs/>
          <w:kern w:val="0"/>
          <w:sz w:val="32"/>
          <w:szCs w:val="32"/>
          <w:lang w:eastAsia="zh-CN"/>
        </w:rPr>
        <w:t>监察</w:t>
      </w:r>
      <w:r>
        <w:rPr>
          <w:rFonts w:hint="eastAsia" w:ascii="仿宋_GB2312" w:hAnsi="黑体" w:eastAsia="仿宋_GB2312" w:cs="宋体"/>
          <w:bCs/>
          <w:kern w:val="0"/>
          <w:sz w:val="32"/>
          <w:szCs w:val="32"/>
        </w:rPr>
        <w:t>处、机关党委</w:t>
      </w:r>
      <w:r>
        <w:rPr>
          <w:rFonts w:hint="eastAsia" w:ascii="仿宋_GB2312" w:hAnsi="宋体" w:eastAsia="仿宋_GB2312" w:cs="宋体"/>
          <w:kern w:val="0"/>
          <w:sz w:val="32"/>
          <w:szCs w:val="32"/>
        </w:rPr>
        <w:t>。</w:t>
      </w:r>
    </w:p>
    <w:p w14:paraId="6DDE4217">
      <w:pPr>
        <w:ind w:firstLine="640" w:firstLineChars="200"/>
        <w:rPr>
          <w:rFonts w:hint="eastAsia" w:ascii="仿宋_GB2312" w:hAnsi="宋体" w:eastAsia="仿宋_GB2312" w:cs="宋体"/>
          <w:kern w:val="0"/>
          <w:sz w:val="32"/>
          <w:szCs w:val="32"/>
        </w:rPr>
      </w:pPr>
    </w:p>
    <w:p w14:paraId="6E6C68CA">
      <w:pPr>
        <w:ind w:firstLine="640" w:firstLineChars="200"/>
        <w:rPr>
          <w:rFonts w:hint="eastAsia" w:ascii="仿宋_GB2312" w:hAnsi="宋体" w:eastAsia="仿宋_GB2312" w:cs="宋体"/>
          <w:kern w:val="0"/>
          <w:sz w:val="32"/>
          <w:szCs w:val="32"/>
        </w:rPr>
      </w:pPr>
    </w:p>
    <w:p w14:paraId="7133EB19">
      <w:pPr>
        <w:ind w:firstLine="640" w:firstLineChars="200"/>
        <w:rPr>
          <w:rFonts w:hint="eastAsia" w:ascii="仿宋_GB2312" w:hAnsi="宋体" w:eastAsia="仿宋_GB2312" w:cs="宋体"/>
          <w:kern w:val="0"/>
          <w:sz w:val="32"/>
          <w:szCs w:val="32"/>
        </w:rPr>
      </w:pPr>
    </w:p>
    <w:p w14:paraId="1D9DD507">
      <w:pPr>
        <w:ind w:firstLine="640" w:firstLineChars="200"/>
        <w:rPr>
          <w:rFonts w:hint="eastAsia" w:ascii="仿宋_GB2312" w:hAnsi="宋体" w:eastAsia="仿宋_GB2312" w:cs="宋体"/>
          <w:kern w:val="0"/>
          <w:sz w:val="32"/>
          <w:szCs w:val="32"/>
        </w:rPr>
      </w:pPr>
    </w:p>
    <w:p w14:paraId="1A5DF30A">
      <w:pPr>
        <w:ind w:firstLine="640" w:firstLineChars="200"/>
        <w:rPr>
          <w:rFonts w:hint="eastAsia" w:ascii="仿宋_GB2312" w:hAnsi="宋体" w:eastAsia="仿宋_GB2312" w:cs="宋体"/>
          <w:kern w:val="0"/>
          <w:sz w:val="32"/>
          <w:szCs w:val="32"/>
        </w:rPr>
      </w:pPr>
    </w:p>
    <w:p w14:paraId="46882A9D">
      <w:pPr>
        <w:ind w:firstLine="640" w:firstLineChars="200"/>
        <w:rPr>
          <w:rFonts w:hint="eastAsia" w:ascii="仿宋_GB2312" w:hAnsi="宋体" w:eastAsia="仿宋_GB2312" w:cs="宋体"/>
          <w:kern w:val="0"/>
          <w:sz w:val="32"/>
          <w:szCs w:val="32"/>
        </w:rPr>
      </w:pPr>
    </w:p>
    <w:p w14:paraId="578661D8">
      <w:pPr>
        <w:ind w:firstLine="640" w:firstLineChars="200"/>
        <w:rPr>
          <w:rFonts w:hint="eastAsia" w:ascii="仿宋_GB2312" w:hAnsi="宋体" w:eastAsia="仿宋_GB2312" w:cs="宋体"/>
          <w:kern w:val="0"/>
          <w:sz w:val="32"/>
          <w:szCs w:val="32"/>
        </w:rPr>
      </w:pPr>
    </w:p>
    <w:p w14:paraId="263E8CA0">
      <w:pPr>
        <w:ind w:firstLine="640" w:firstLineChars="200"/>
        <w:rPr>
          <w:rFonts w:hint="eastAsia" w:ascii="仿宋_GB2312" w:hAnsi="宋体" w:eastAsia="仿宋_GB2312" w:cs="宋体"/>
          <w:kern w:val="0"/>
          <w:sz w:val="32"/>
          <w:szCs w:val="32"/>
        </w:rPr>
      </w:pPr>
    </w:p>
    <w:p w14:paraId="5B65FE15">
      <w:pPr>
        <w:ind w:firstLine="640" w:firstLineChars="200"/>
        <w:rPr>
          <w:rFonts w:hint="eastAsia" w:ascii="仿宋_GB2312" w:hAnsi="宋体" w:eastAsia="仿宋_GB2312" w:cs="宋体"/>
          <w:kern w:val="0"/>
          <w:sz w:val="32"/>
          <w:szCs w:val="32"/>
        </w:rPr>
      </w:pPr>
    </w:p>
    <w:p w14:paraId="6643F5B0">
      <w:pPr>
        <w:ind w:firstLine="640" w:firstLineChars="200"/>
        <w:rPr>
          <w:rFonts w:hint="eastAsia" w:ascii="仿宋_GB2312" w:hAnsi="宋体" w:eastAsia="仿宋_GB2312" w:cs="宋体"/>
          <w:kern w:val="0"/>
          <w:sz w:val="32"/>
          <w:szCs w:val="32"/>
        </w:rPr>
      </w:pPr>
    </w:p>
    <w:p w14:paraId="7DE049F8">
      <w:pPr>
        <w:ind w:firstLine="640" w:firstLineChars="200"/>
        <w:rPr>
          <w:rFonts w:hint="eastAsia" w:ascii="仿宋_GB2312" w:hAnsi="宋体" w:eastAsia="仿宋_GB2312" w:cs="宋体"/>
          <w:kern w:val="0"/>
          <w:sz w:val="32"/>
          <w:szCs w:val="32"/>
        </w:rPr>
      </w:pPr>
    </w:p>
    <w:p w14:paraId="54A91C1F">
      <w:pPr>
        <w:ind w:firstLine="640" w:firstLineChars="200"/>
        <w:rPr>
          <w:rFonts w:hint="eastAsia" w:ascii="仿宋_GB2312" w:hAnsi="宋体" w:eastAsia="仿宋_GB2312" w:cs="宋体"/>
          <w:kern w:val="0"/>
          <w:sz w:val="32"/>
          <w:szCs w:val="32"/>
        </w:rPr>
      </w:pPr>
    </w:p>
    <w:p w14:paraId="05EA2F51">
      <w:pPr>
        <w:ind w:firstLine="640" w:firstLineChars="200"/>
        <w:rPr>
          <w:rFonts w:hint="eastAsia" w:ascii="仿宋_GB2312" w:hAnsi="宋体" w:eastAsia="仿宋_GB2312" w:cs="宋体"/>
          <w:kern w:val="0"/>
          <w:sz w:val="32"/>
          <w:szCs w:val="32"/>
        </w:rPr>
      </w:pPr>
    </w:p>
    <w:p w14:paraId="5546C2C5">
      <w:pPr>
        <w:ind w:firstLine="640" w:firstLineChars="200"/>
        <w:rPr>
          <w:rFonts w:hint="eastAsia" w:ascii="仿宋_GB2312" w:hAnsi="宋体" w:eastAsia="仿宋_GB2312" w:cs="宋体"/>
          <w:kern w:val="0"/>
          <w:sz w:val="32"/>
          <w:szCs w:val="32"/>
        </w:rPr>
      </w:pPr>
    </w:p>
    <w:p w14:paraId="4BBEE0BC">
      <w:pPr>
        <w:ind w:firstLine="640" w:firstLineChars="200"/>
        <w:rPr>
          <w:rFonts w:hint="eastAsia" w:ascii="仿宋_GB2312" w:hAnsi="宋体" w:eastAsia="仿宋_GB2312" w:cs="宋体"/>
          <w:kern w:val="0"/>
          <w:sz w:val="32"/>
          <w:szCs w:val="32"/>
        </w:rPr>
      </w:pPr>
    </w:p>
    <w:p w14:paraId="09E39175">
      <w:pPr>
        <w:ind w:firstLine="640" w:firstLineChars="200"/>
        <w:rPr>
          <w:rFonts w:hint="eastAsia" w:ascii="仿宋_GB2312" w:hAnsi="宋体" w:eastAsia="仿宋_GB2312" w:cs="宋体"/>
          <w:kern w:val="0"/>
          <w:sz w:val="32"/>
          <w:szCs w:val="32"/>
        </w:rPr>
      </w:pPr>
    </w:p>
    <w:p w14:paraId="2260B949">
      <w:pPr>
        <w:ind w:firstLine="640" w:firstLineChars="200"/>
        <w:rPr>
          <w:rFonts w:hint="eastAsia" w:ascii="仿宋_GB2312" w:hAnsi="宋体" w:eastAsia="仿宋_GB2312" w:cs="宋体"/>
          <w:kern w:val="0"/>
          <w:sz w:val="32"/>
          <w:szCs w:val="32"/>
        </w:rPr>
      </w:pPr>
    </w:p>
    <w:p w14:paraId="26173762">
      <w:pPr>
        <w:ind w:firstLine="640" w:firstLineChars="200"/>
        <w:rPr>
          <w:rFonts w:hint="eastAsia" w:ascii="仿宋_GB2312" w:hAnsi="宋体" w:eastAsia="仿宋_GB2312" w:cs="宋体"/>
          <w:kern w:val="0"/>
          <w:sz w:val="32"/>
          <w:szCs w:val="32"/>
        </w:rPr>
      </w:pPr>
    </w:p>
    <w:p w14:paraId="1F0AD219">
      <w:pPr>
        <w:ind w:firstLine="640" w:firstLineChars="200"/>
        <w:rPr>
          <w:rFonts w:hint="eastAsia" w:ascii="仿宋_GB2312" w:hAnsi="宋体" w:eastAsia="仿宋_GB2312" w:cs="宋体"/>
          <w:kern w:val="0"/>
          <w:sz w:val="32"/>
          <w:szCs w:val="32"/>
        </w:rPr>
      </w:pPr>
    </w:p>
    <w:p w14:paraId="6DA164BC">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4096C8B5">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1DD3E2C">
      <w:pPr>
        <w:ind w:firstLine="640" w:firstLineChars="200"/>
        <w:jc w:val="left"/>
        <w:rPr>
          <w:rFonts w:ascii="仿宋_GB2312" w:eastAsia="仿宋_GB2312"/>
          <w:sz w:val="32"/>
          <w:szCs w:val="32"/>
        </w:rPr>
      </w:pPr>
      <w:r>
        <w:rPr>
          <w:rFonts w:hint="eastAsia" w:ascii="仿宋_GB2312" w:eastAsia="仿宋_GB2312"/>
          <w:sz w:val="32"/>
          <w:szCs w:val="32"/>
        </w:rPr>
        <w:t>2023年度收入总计1,794.32万元，其中：本年收入合计1,612.41万元，使用非财政拨款结余0.00万元，年初结转和结余181.91万元。</w:t>
      </w:r>
    </w:p>
    <w:p w14:paraId="7977625A">
      <w:pPr>
        <w:ind w:firstLine="640" w:firstLineChars="200"/>
        <w:jc w:val="left"/>
        <w:rPr>
          <w:rFonts w:ascii="仿宋_GB2312" w:eastAsia="仿宋_GB2312"/>
          <w:sz w:val="32"/>
          <w:szCs w:val="32"/>
        </w:rPr>
      </w:pPr>
      <w:r>
        <w:rPr>
          <w:rFonts w:hint="eastAsia" w:ascii="仿宋_GB2312" w:eastAsia="仿宋_GB2312"/>
          <w:sz w:val="32"/>
          <w:szCs w:val="32"/>
        </w:rPr>
        <w:t>2023年度支出总计1,794.32万元，其中：本年支出合计1,731.81万元，结余分配0.00万元，年末结转和结余62.51万元。</w:t>
      </w:r>
    </w:p>
    <w:p w14:paraId="5E54E5A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减少259.49万元</w:t>
      </w:r>
      <w:r>
        <w:rPr>
          <w:rFonts w:hint="eastAsia" w:ascii="仿宋_GB2312" w:eastAsia="仿宋_GB2312"/>
          <w:sz w:val="32"/>
          <w:szCs w:val="32"/>
        </w:rPr>
        <w:t>，下降12.63%，主要原因是：</w:t>
      </w:r>
      <w:r>
        <w:rPr>
          <w:rFonts w:hint="eastAsia" w:ascii="仿宋_GB2312" w:eastAsia="仿宋_GB2312"/>
          <w:sz w:val="32"/>
          <w:szCs w:val="32"/>
          <w:lang w:eastAsia="zh-CN"/>
        </w:rPr>
        <w:t>年初结转结余减少，项目经费减少。</w:t>
      </w:r>
    </w:p>
    <w:p w14:paraId="347D19BA">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1C2DEB5">
      <w:pPr>
        <w:ind w:firstLine="640" w:firstLineChars="200"/>
        <w:jc w:val="left"/>
        <w:rPr>
          <w:rFonts w:ascii="仿宋_GB2312" w:eastAsia="仿宋_GB2312"/>
          <w:sz w:val="32"/>
          <w:szCs w:val="32"/>
        </w:rPr>
      </w:pPr>
      <w:r>
        <w:rPr>
          <w:rFonts w:hint="eastAsia" w:ascii="仿宋_GB2312" w:eastAsia="仿宋_GB2312"/>
          <w:sz w:val="32"/>
          <w:szCs w:val="32"/>
        </w:rPr>
        <w:t>本年收入1,612.41万元，其中：财政拨款收入</w:t>
      </w:r>
      <w:r>
        <w:rPr>
          <w:rFonts w:hint="eastAsia" w:ascii="仿宋_GB2312" w:eastAsia="仿宋_GB2312"/>
          <w:sz w:val="32"/>
          <w:szCs w:val="32"/>
          <w:lang w:val="zh-CN"/>
        </w:rPr>
        <w:t>1,612.24</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0.17</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70183537">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1477C73">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本年支出1,731.81万元，其中：基本支出1,094.81万元，占63.22%；项目支出637.00万元，占36.78%；上缴上级支出0.00万元，占0.00%；经营支出0.00万元，占0.00%；对附属单位补助支出0.00万元，占0.00%。</w:t>
      </w:r>
    </w:p>
    <w:p w14:paraId="3B608864">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4056C6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1,612.24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1,612.24</w:t>
      </w:r>
      <w:r>
        <w:rPr>
          <w:rFonts w:hint="eastAsia" w:ascii="仿宋_GB2312" w:eastAsia="仿宋_GB2312"/>
          <w:sz w:val="32"/>
          <w:szCs w:val="32"/>
        </w:rPr>
        <w:t>万元。财政拨款支出总计</w:t>
      </w:r>
      <w:r>
        <w:rPr>
          <w:rFonts w:hint="eastAsia" w:ascii="仿宋_GB2312" w:eastAsia="仿宋_GB2312"/>
          <w:sz w:val="32"/>
          <w:szCs w:val="32"/>
          <w:lang w:val="zh-CN"/>
        </w:rPr>
        <w:t>1,612.24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1,612.24</w:t>
      </w:r>
      <w:r>
        <w:rPr>
          <w:rFonts w:hint="eastAsia" w:ascii="仿宋_GB2312" w:eastAsia="仿宋_GB2312"/>
          <w:sz w:val="32"/>
          <w:szCs w:val="32"/>
        </w:rPr>
        <w:t>万元。</w:t>
      </w:r>
    </w:p>
    <w:p w14:paraId="5E4EDAA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增加142.93万元</w:t>
      </w:r>
      <w:r>
        <w:rPr>
          <w:rFonts w:hint="eastAsia" w:ascii="仿宋_GB2312" w:eastAsia="仿宋_GB2312"/>
          <w:sz w:val="32"/>
          <w:szCs w:val="32"/>
        </w:rPr>
        <w:t>，</w:t>
      </w:r>
      <w:r>
        <w:rPr>
          <w:rFonts w:hint="eastAsia" w:ascii="仿宋_GB2312" w:eastAsia="仿宋_GB2312"/>
          <w:sz w:val="32"/>
          <w:szCs w:val="32"/>
          <w:lang w:val="zh-CN"/>
        </w:rPr>
        <w:t>增长9.73%，</w:t>
      </w:r>
      <w:r>
        <w:rPr>
          <w:rFonts w:hint="eastAsia" w:ascii="仿宋_GB2312" w:eastAsia="仿宋_GB2312"/>
          <w:sz w:val="32"/>
          <w:szCs w:val="32"/>
        </w:rPr>
        <w:t>主要原因是：</w:t>
      </w:r>
      <w:r>
        <w:rPr>
          <w:rFonts w:hint="eastAsia" w:ascii="仿宋_GB2312" w:eastAsia="仿宋_GB2312"/>
          <w:sz w:val="32"/>
          <w:szCs w:val="32"/>
          <w:lang w:eastAsia="zh-CN"/>
        </w:rPr>
        <w:t>本年退休人员较多，追加职业年金预算经费，人员经费预算增加</w:t>
      </w:r>
      <w:r>
        <w:rPr>
          <w:rFonts w:hint="eastAsia" w:ascii="仿宋_GB2312" w:eastAsia="仿宋_GB2312"/>
          <w:sz w:val="32"/>
          <w:szCs w:val="32"/>
        </w:rPr>
        <w:t>。与年初预算相比，年初预算数</w:t>
      </w:r>
      <w:r>
        <w:rPr>
          <w:rFonts w:hint="eastAsia" w:ascii="仿宋_GB2312" w:eastAsia="仿宋_GB2312"/>
          <w:sz w:val="32"/>
          <w:szCs w:val="32"/>
          <w:lang w:val="zh-CN"/>
        </w:rPr>
        <w:t>1,461.58</w:t>
      </w:r>
      <w:r>
        <w:rPr>
          <w:rFonts w:hint="eastAsia" w:ascii="仿宋_GB2312" w:eastAsia="仿宋_GB2312"/>
          <w:sz w:val="32"/>
          <w:szCs w:val="32"/>
        </w:rPr>
        <w:t>万元，决算数</w:t>
      </w:r>
      <w:r>
        <w:rPr>
          <w:rFonts w:hint="eastAsia" w:ascii="仿宋_GB2312" w:eastAsia="仿宋_GB2312"/>
          <w:sz w:val="32"/>
          <w:szCs w:val="32"/>
          <w:lang w:val="zh-CN"/>
        </w:rPr>
        <w:t>1,612.24</w:t>
      </w:r>
      <w:r>
        <w:rPr>
          <w:rFonts w:hint="eastAsia" w:ascii="仿宋_GB2312" w:eastAsia="仿宋_GB2312"/>
          <w:sz w:val="32"/>
          <w:szCs w:val="32"/>
        </w:rPr>
        <w:t>万元，预决算差异率10.31%，主要原因是：</w:t>
      </w:r>
      <w:r>
        <w:rPr>
          <w:rFonts w:hint="eastAsia" w:ascii="仿宋_GB2312" w:eastAsia="仿宋_GB2312"/>
          <w:sz w:val="32"/>
          <w:szCs w:val="32"/>
          <w:lang w:eastAsia="zh-CN"/>
        </w:rPr>
        <w:t>追加绩效考核奖预算经费，追加中人退休职业年金缴费预算</w:t>
      </w:r>
      <w:r>
        <w:rPr>
          <w:rFonts w:hint="eastAsia" w:ascii="仿宋_GB2312" w:eastAsia="仿宋_GB2312"/>
          <w:sz w:val="32"/>
          <w:szCs w:val="32"/>
        </w:rPr>
        <w:t>。</w:t>
      </w:r>
    </w:p>
    <w:p w14:paraId="61A65FB2">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05C9533">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1C84CC5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2023年度一般公共预算财政拨款支出1,612.24万元，占本年支出合计的</w:t>
      </w:r>
      <w:r>
        <w:rPr>
          <w:rFonts w:hint="eastAsia" w:ascii="仿宋_GB2312" w:eastAsia="仿宋_GB2312"/>
          <w:sz w:val="32"/>
          <w:szCs w:val="32"/>
          <w:lang w:val="zh-CN"/>
        </w:rPr>
        <w:t>93.10%</w:t>
      </w:r>
      <w:r>
        <w:rPr>
          <w:rFonts w:hint="eastAsia" w:ascii="仿宋_GB2312" w:eastAsia="仿宋_GB2312"/>
          <w:sz w:val="32"/>
          <w:szCs w:val="32"/>
        </w:rPr>
        <w:t>。与上年相比，</w:t>
      </w:r>
      <w:r>
        <w:rPr>
          <w:rFonts w:hint="eastAsia" w:ascii="仿宋_GB2312" w:eastAsia="仿宋_GB2312"/>
          <w:sz w:val="32"/>
          <w:szCs w:val="32"/>
          <w:lang w:val="zh-CN"/>
        </w:rPr>
        <w:t>增加142.93万元</w:t>
      </w:r>
      <w:r>
        <w:rPr>
          <w:rFonts w:hint="eastAsia" w:ascii="仿宋_GB2312" w:eastAsia="仿宋_GB2312"/>
          <w:sz w:val="32"/>
          <w:szCs w:val="32"/>
        </w:rPr>
        <w:t>，</w:t>
      </w:r>
      <w:r>
        <w:rPr>
          <w:rFonts w:hint="eastAsia" w:ascii="仿宋_GB2312" w:eastAsia="仿宋_GB2312"/>
          <w:sz w:val="32"/>
          <w:szCs w:val="32"/>
          <w:lang w:val="zh-CN"/>
        </w:rPr>
        <w:t>增长9.73%，</w:t>
      </w:r>
      <w:r>
        <w:rPr>
          <w:rFonts w:hint="eastAsia" w:ascii="仿宋_GB2312" w:eastAsia="仿宋_GB2312"/>
          <w:sz w:val="32"/>
          <w:szCs w:val="32"/>
        </w:rPr>
        <w:t>主要原因是：</w:t>
      </w:r>
      <w:r>
        <w:rPr>
          <w:rFonts w:hint="eastAsia" w:ascii="仿宋_GB2312" w:eastAsia="仿宋_GB2312"/>
          <w:sz w:val="32"/>
          <w:szCs w:val="32"/>
          <w:lang w:eastAsia="zh-CN"/>
        </w:rPr>
        <w:t>本年退休人员较多，追加职业年金预算经费，人员经费支出增加</w:t>
      </w:r>
      <w:r>
        <w:rPr>
          <w:rFonts w:hint="eastAsia" w:ascii="仿宋_GB2312" w:eastAsia="仿宋_GB2312"/>
          <w:sz w:val="32"/>
          <w:szCs w:val="32"/>
        </w:rPr>
        <w:t>。与年初预算相比，年初预算数</w:t>
      </w:r>
      <w:r>
        <w:rPr>
          <w:rFonts w:hint="eastAsia" w:ascii="仿宋_GB2312" w:eastAsia="仿宋_GB2312"/>
          <w:sz w:val="32"/>
          <w:szCs w:val="32"/>
          <w:lang w:val="zh-CN"/>
        </w:rPr>
        <w:t>1,461.58</w:t>
      </w:r>
      <w:r>
        <w:rPr>
          <w:rFonts w:hint="eastAsia" w:ascii="仿宋_GB2312" w:eastAsia="仿宋_GB2312"/>
          <w:sz w:val="32"/>
          <w:szCs w:val="32"/>
        </w:rPr>
        <w:t>万元，决算数</w:t>
      </w:r>
      <w:r>
        <w:rPr>
          <w:rFonts w:hint="eastAsia" w:ascii="仿宋_GB2312" w:eastAsia="仿宋_GB2312"/>
          <w:sz w:val="32"/>
          <w:szCs w:val="32"/>
          <w:lang w:val="zh-CN"/>
        </w:rPr>
        <w:t>1,612.24</w:t>
      </w:r>
      <w:r>
        <w:rPr>
          <w:rFonts w:hint="eastAsia" w:ascii="仿宋_GB2312" w:eastAsia="仿宋_GB2312"/>
          <w:sz w:val="32"/>
          <w:szCs w:val="32"/>
        </w:rPr>
        <w:t>万元，预决算差异率</w:t>
      </w:r>
      <w:r>
        <w:rPr>
          <w:rFonts w:hint="eastAsia" w:ascii="仿宋_GB2312" w:eastAsia="仿宋_GB2312"/>
          <w:sz w:val="32"/>
          <w:szCs w:val="32"/>
          <w:lang w:val="zh-CN"/>
        </w:rPr>
        <w:t>10.31%</w:t>
      </w:r>
      <w:r>
        <w:rPr>
          <w:rFonts w:hint="eastAsia" w:ascii="仿宋_GB2312" w:eastAsia="仿宋_GB2312"/>
          <w:sz w:val="32"/>
          <w:szCs w:val="32"/>
        </w:rPr>
        <w:t>，主要原因是：</w:t>
      </w:r>
      <w:r>
        <w:rPr>
          <w:rFonts w:hint="eastAsia" w:ascii="仿宋_GB2312" w:eastAsia="仿宋_GB2312"/>
          <w:sz w:val="32"/>
          <w:szCs w:val="32"/>
          <w:lang w:eastAsia="zh-CN"/>
        </w:rPr>
        <w:t>追加绩效考核奖预算经费，追加中人退休职业年金缴费预算</w:t>
      </w:r>
      <w:r>
        <w:rPr>
          <w:rFonts w:hint="eastAsia" w:ascii="仿宋_GB2312" w:eastAsia="仿宋_GB2312"/>
          <w:sz w:val="32"/>
          <w:szCs w:val="32"/>
        </w:rPr>
        <w:t>。</w:t>
      </w:r>
    </w:p>
    <w:p w14:paraId="41A8E431">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55A194B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144.14</w:t>
      </w:r>
      <w:r>
        <w:rPr>
          <w:rFonts w:ascii="仿宋_GB2312" w:eastAsia="仿宋_GB2312"/>
          <w:kern w:val="2"/>
          <w:sz w:val="32"/>
          <w:szCs w:val="32"/>
          <w:lang w:val="zh-CN"/>
        </w:rPr>
        <w:t>万元，占</w:t>
      </w:r>
      <w:r>
        <w:rPr>
          <w:rFonts w:hint="eastAsia" w:ascii="仿宋_GB2312" w:eastAsia="仿宋_GB2312"/>
          <w:kern w:val="2"/>
          <w:sz w:val="32"/>
          <w:szCs w:val="32"/>
          <w:lang w:val="zh-CN"/>
        </w:rPr>
        <w:t>8.94</w:t>
      </w:r>
      <w:r>
        <w:rPr>
          <w:rFonts w:ascii="仿宋_GB2312" w:eastAsia="仿宋_GB2312"/>
          <w:kern w:val="2"/>
          <w:sz w:val="32"/>
          <w:szCs w:val="32"/>
          <w:lang w:val="zh-CN"/>
        </w:rPr>
        <w:t>%；</w:t>
      </w:r>
    </w:p>
    <w:p w14:paraId="225E271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67.66</w:t>
      </w:r>
      <w:r>
        <w:rPr>
          <w:rFonts w:ascii="仿宋_GB2312" w:eastAsia="仿宋_GB2312"/>
          <w:kern w:val="2"/>
          <w:sz w:val="32"/>
          <w:szCs w:val="32"/>
          <w:lang w:val="zh-CN"/>
        </w:rPr>
        <w:t>万元，占</w:t>
      </w:r>
      <w:r>
        <w:rPr>
          <w:rFonts w:hint="eastAsia" w:ascii="仿宋_GB2312" w:eastAsia="仿宋_GB2312"/>
          <w:kern w:val="2"/>
          <w:sz w:val="32"/>
          <w:szCs w:val="32"/>
          <w:lang w:val="zh-CN"/>
        </w:rPr>
        <w:t>4.20</w:t>
      </w:r>
      <w:r>
        <w:rPr>
          <w:rFonts w:ascii="仿宋_GB2312" w:eastAsia="仿宋_GB2312"/>
          <w:kern w:val="2"/>
          <w:sz w:val="32"/>
          <w:szCs w:val="32"/>
          <w:lang w:val="zh-CN"/>
        </w:rPr>
        <w:t>%；</w:t>
      </w:r>
    </w:p>
    <w:p w14:paraId="1027D2F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1,346.50</w:t>
      </w:r>
      <w:r>
        <w:rPr>
          <w:rFonts w:ascii="仿宋_GB2312" w:eastAsia="仿宋_GB2312"/>
          <w:kern w:val="2"/>
          <w:sz w:val="32"/>
          <w:szCs w:val="32"/>
          <w:lang w:val="zh-CN"/>
        </w:rPr>
        <w:t>万元，占</w:t>
      </w:r>
      <w:r>
        <w:rPr>
          <w:rFonts w:hint="eastAsia" w:ascii="仿宋_GB2312" w:eastAsia="仿宋_GB2312"/>
          <w:kern w:val="2"/>
          <w:sz w:val="32"/>
          <w:szCs w:val="32"/>
          <w:lang w:val="zh-CN"/>
        </w:rPr>
        <w:t>83.52</w:t>
      </w:r>
      <w:r>
        <w:rPr>
          <w:rFonts w:ascii="仿宋_GB2312" w:eastAsia="仿宋_GB2312"/>
          <w:kern w:val="2"/>
          <w:sz w:val="32"/>
          <w:szCs w:val="32"/>
          <w:lang w:val="zh-CN"/>
        </w:rPr>
        <w:t>%；</w:t>
      </w:r>
    </w:p>
    <w:p w14:paraId="07F0903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53.94</w:t>
      </w:r>
      <w:r>
        <w:rPr>
          <w:rFonts w:ascii="仿宋_GB2312" w:eastAsia="仿宋_GB2312"/>
          <w:kern w:val="2"/>
          <w:sz w:val="32"/>
          <w:szCs w:val="32"/>
          <w:lang w:val="zh-CN"/>
        </w:rPr>
        <w:t>万元，占</w:t>
      </w:r>
      <w:r>
        <w:rPr>
          <w:rFonts w:hint="eastAsia" w:ascii="仿宋_GB2312" w:eastAsia="仿宋_GB2312"/>
          <w:kern w:val="2"/>
          <w:sz w:val="32"/>
          <w:szCs w:val="32"/>
          <w:lang w:val="zh-CN"/>
        </w:rPr>
        <w:t>3.35</w:t>
      </w:r>
      <w:r>
        <w:rPr>
          <w:rFonts w:ascii="仿宋_GB2312" w:eastAsia="仿宋_GB2312"/>
          <w:kern w:val="2"/>
          <w:sz w:val="32"/>
          <w:szCs w:val="32"/>
          <w:lang w:val="zh-CN"/>
        </w:rPr>
        <w:t>%；</w:t>
      </w:r>
    </w:p>
    <w:p w14:paraId="271197DF">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F39EDED">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1.卫生健康支出（类）行政事业单位医疗（款）行政单位医疗（项）:支出决算数为36.20万元，比上年决算增加12.96万元，增长55.76%，主要原因是：</w:t>
      </w:r>
      <w:r>
        <w:rPr>
          <w:rFonts w:hint="eastAsia" w:eastAsia="仿宋_GB2312"/>
          <w:sz w:val="32"/>
          <w:szCs w:val="32"/>
          <w:lang w:val="zh-CN"/>
        </w:rPr>
        <w:t>人员缴费基数调整，支出增加。</w:t>
      </w:r>
    </w:p>
    <w:p w14:paraId="65A2AAC7">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2.卫生健康支出（类）行政事业单位医疗（款）公务员医疗补助（项）:支出决算数为31.46万元，比上年决算增加13.39万元，增长74.09%，主要原因是：</w:t>
      </w:r>
      <w:r>
        <w:rPr>
          <w:rFonts w:hint="eastAsia" w:eastAsia="仿宋_GB2312"/>
          <w:sz w:val="32"/>
          <w:szCs w:val="32"/>
          <w:lang w:val="zh-CN"/>
        </w:rPr>
        <w:t>人员缴费基数调整，支出增加。</w:t>
      </w:r>
    </w:p>
    <w:p w14:paraId="6AD19D6E">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3.自然资源海洋气象等支出（类）自然资源事务（款）其他自然资源事务支出（项）:支出决算数为637.00万元，比上年决算减少5.97万元，下降0.93%，主要原因是：</w:t>
      </w:r>
      <w:r>
        <w:rPr>
          <w:rFonts w:hint="eastAsia" w:eastAsia="仿宋_GB2312"/>
          <w:sz w:val="32"/>
          <w:szCs w:val="32"/>
          <w:lang w:val="zh-CN"/>
        </w:rPr>
        <w:t>办案</w:t>
      </w:r>
      <w:bookmarkStart w:id="48" w:name="_GoBack"/>
      <w:bookmarkEnd w:id="48"/>
      <w:r>
        <w:rPr>
          <w:rFonts w:hint="eastAsia" w:eastAsia="仿宋_GB2312"/>
          <w:sz w:val="32"/>
          <w:szCs w:val="32"/>
          <w:lang w:val="zh-CN"/>
        </w:rPr>
        <w:t>经费减少。</w:t>
      </w:r>
    </w:p>
    <w:p w14:paraId="758C329C">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4.自然资源海洋气象等支出（类）自然资源事务（款）行政运行（项）:支出决算数为709.50万元，比上年决算增加82.74万元，增长13.20%，主要原因是：</w:t>
      </w:r>
      <w:r>
        <w:rPr>
          <w:rFonts w:hint="eastAsia" w:eastAsia="仿宋_GB2312"/>
          <w:sz w:val="32"/>
          <w:szCs w:val="32"/>
          <w:lang w:val="zh-CN"/>
        </w:rPr>
        <w:t>追加绩效考核奖经费。</w:t>
      </w:r>
    </w:p>
    <w:p w14:paraId="3F5BD284">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5.住房保障支出（类）住房改革支出（款）住房公积金（项）:支出决算数为53.94万元，比上年决算增加21.63万元，增长66.95%，主要原因是：</w:t>
      </w:r>
      <w:r>
        <w:rPr>
          <w:rFonts w:hint="eastAsia" w:eastAsia="仿宋_GB2312"/>
          <w:sz w:val="32"/>
          <w:szCs w:val="32"/>
          <w:lang w:val="zh-CN"/>
        </w:rPr>
        <w:t>人员缴费基数调整，支出增加。</w:t>
      </w:r>
    </w:p>
    <w:p w14:paraId="31E4080E">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6.社会保障和就业支出（类）行政事业单位养老支出（款）行政单位离退休（项）:支出决算数为26.56万元，比上年决算减少10.77万元，下降28.85%，主要原因是：</w:t>
      </w:r>
      <w:r>
        <w:rPr>
          <w:rFonts w:hint="eastAsia" w:eastAsia="仿宋_GB2312"/>
          <w:sz w:val="32"/>
          <w:szCs w:val="32"/>
          <w:lang w:eastAsia="zh-CN"/>
        </w:rPr>
        <w:t>按规定</w:t>
      </w:r>
      <w:r>
        <w:rPr>
          <w:rFonts w:hint="eastAsia" w:eastAsia="仿宋_GB2312"/>
          <w:sz w:val="32"/>
          <w:szCs w:val="32"/>
          <w:lang w:val="zh-CN"/>
        </w:rPr>
        <w:t>减少退休人员医疗补助金缴费。</w:t>
      </w:r>
    </w:p>
    <w:p w14:paraId="7950A00E">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7.社会保障和就业支出（类）行政事业单位养老支出（款）机关事业单位职业年金缴费支出（项）:支出决算数为45.66万元，比上年决算增加36.10万元，增长377.43%，主要原因是：</w:t>
      </w:r>
      <w:r>
        <w:rPr>
          <w:rFonts w:hint="eastAsia" w:eastAsia="仿宋_GB2312"/>
          <w:sz w:val="32"/>
          <w:szCs w:val="32"/>
          <w:lang w:val="zh-CN"/>
        </w:rPr>
        <w:t>中人退休人员增加，追加退休人员职业年金缴费。</w:t>
      </w:r>
    </w:p>
    <w:p w14:paraId="7DF537F4">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8.社会保障和就业支出（类）行政事业单位养老支出（款）机关事业单位基本养老保险缴费支出（项）:支出决算数为71.92万元，比上年决算增加28.84万元，增长66.95%，主要原因是：</w:t>
      </w:r>
      <w:r>
        <w:rPr>
          <w:rFonts w:hint="eastAsia" w:eastAsia="仿宋_GB2312"/>
          <w:sz w:val="32"/>
          <w:szCs w:val="32"/>
          <w:lang w:val="zh-CN"/>
        </w:rPr>
        <w:t>人员缴费基数调整，支出增加。</w:t>
      </w:r>
    </w:p>
    <w:p w14:paraId="69202960">
      <w:pPr>
        <w:ind w:firstLine="640" w:firstLineChars="200"/>
        <w:rPr>
          <w:rFonts w:eastAsia="仿宋_GB2312"/>
          <w:sz w:val="32"/>
          <w:szCs w:val="32"/>
          <w:lang w:val="zh-CN"/>
        </w:rPr>
      </w:pPr>
      <w:r>
        <w:rPr>
          <w:rFonts w:hint="eastAsia" w:eastAsia="仿宋_GB2312"/>
          <w:sz w:val="32"/>
          <w:szCs w:val="32"/>
        </w:rPr>
        <w:t>9.自然资源海洋气象等支出（类）自然资源事务（款）事业运行（项）:支出决算数为0.00万元，比上年决算减少36.00万元，下降100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zh-CN"/>
        </w:rPr>
        <w:t>减少上年从此项目下达的“访惠聚”人员经费预算。</w:t>
      </w:r>
    </w:p>
    <w:p w14:paraId="682A970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F22F0D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975.24万元，其中：人员经费859.78万元，包括：基本工资、津贴补贴、奖金、机关事业单位基本养老保险缴费、职业年金缴费、职工基本医疗保险缴费、公务员医疗补助缴费、其他社会保障缴费、住房公积金、其他工资福利支出、退休费、抚恤金、生活补助、医疗费补助、奖励金。</w:t>
      </w:r>
    </w:p>
    <w:p w14:paraId="1CBB2FEB">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公用经费115.46万元，包括：办公费、手续费、水费、电费、邮电费、取暖费、差旅费、维修（护）费、专用材料费、工会经费、福利费、其他交通费用、其他商品和服务支出</w:t>
      </w:r>
      <w:r>
        <w:rPr>
          <w:rFonts w:hint="eastAsia" w:ascii="仿宋_GB2312" w:eastAsia="仿宋_GB2312"/>
          <w:sz w:val="32"/>
          <w:szCs w:val="32"/>
          <w:lang w:eastAsia="zh-CN"/>
        </w:rPr>
        <w:t>。</w:t>
      </w:r>
    </w:p>
    <w:p w14:paraId="3A5E556F">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79A1A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“三公”经费支出17.40万元，</w:t>
      </w:r>
      <w:r>
        <w:rPr>
          <w:rFonts w:hint="eastAsia" w:ascii="仿宋_GB2312" w:eastAsia="仿宋_GB2312"/>
          <w:sz w:val="32"/>
          <w:szCs w:val="32"/>
        </w:rPr>
        <w:t>比上年</w:t>
      </w:r>
      <w:r>
        <w:rPr>
          <w:rFonts w:hint="eastAsia" w:ascii="仿宋_GB2312" w:eastAsia="仿宋_GB2312"/>
          <w:sz w:val="32"/>
          <w:szCs w:val="32"/>
          <w:lang w:val="zh-CN"/>
        </w:rPr>
        <w:t>减少0.02万元，下降0.10%，主要原因是：厉行勤俭节约，压减“三公”经费支出。其中：因公出国（境）费支出0.00万元，占0.00%，比上年增加0.00万元，增长0.00%，主要原因是：本年无因公出国（境）费预算；公务用车购置及运行维护费支出17.40万元，占100.00%，比上年减少0.02万元，下降0.10%，主要原因是：厉行勤俭节约，压减经费支出；公务接待费支出0.00万元，占0.00%，比上年增加0.00万元，增长0.00%，主要原因是：本年无公务接待费支出。</w:t>
      </w:r>
    </w:p>
    <w:p w14:paraId="0A1EA2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0A9EBA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因公出国（境）费支出0.00万元，开支内容包括无因公出国（境）事项。单位全年安排的因公出国（境）团组0个，因公出国（境）0人次。</w:t>
      </w:r>
    </w:p>
    <w:p w14:paraId="6F5DD0D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公务用车购置及运行维护费17.40万元，其中：公务用车购置费0.00万元，公务用车运行维护费17.40万元。公务用车运行维护费开支内容包括</w:t>
      </w:r>
      <w:r>
        <w:rPr>
          <w:rFonts w:hint="eastAsia" w:ascii="仿宋_GB2312" w:eastAsia="仿宋_GB2312"/>
          <w:sz w:val="32"/>
          <w:szCs w:val="32"/>
        </w:rPr>
        <w:t>公务用车的燃料费，保险费，过路费，维修费，停车费等相关费用</w:t>
      </w:r>
      <w:r>
        <w:rPr>
          <w:rFonts w:hint="eastAsia" w:ascii="仿宋_GB2312" w:eastAsia="仿宋_GB2312"/>
          <w:sz w:val="32"/>
          <w:szCs w:val="32"/>
          <w:lang w:val="zh-CN"/>
        </w:rPr>
        <w:t>。公务用车购置数0辆，公务用车保有量8辆。国有资产占用情况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8辆，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528053F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公务接待费0.00万元，开支内容包括我单位无公务接待事项。单位全年安排的国内公务接待0批次，0人次。</w:t>
      </w:r>
    </w:p>
    <w:p w14:paraId="3814B5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预算数17.40万元，决算数17.40万元，预决算差异率0.00%，主要原因是：预决算一致无差异。其中：因公出国（境）费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预算数0.00万元，决算数0.00万元，预决算差异率0.00%，主要原因是：无公务用车购置；公务用车运行费</w:t>
      </w:r>
      <w:r>
        <w:rPr>
          <w:rFonts w:hint="eastAsia" w:ascii="仿宋_GB2312" w:eastAsia="仿宋_GB2312"/>
          <w:sz w:val="32"/>
          <w:szCs w:val="32"/>
        </w:rPr>
        <w:t>全年</w:t>
      </w:r>
      <w:r>
        <w:rPr>
          <w:rFonts w:hint="eastAsia" w:ascii="仿宋_GB2312" w:eastAsia="仿宋_GB2312"/>
          <w:sz w:val="32"/>
          <w:szCs w:val="32"/>
          <w:lang w:val="zh-CN"/>
        </w:rPr>
        <w:t>预算数17.40万元，决算数17.40万元，预决算差异率0.00%，主要原因是：预决算一致无差异；公务接待费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预算数0.00万元，决算数0.00万元，预决算差异率0.00%，主要原因是：无公务接待费。</w:t>
      </w:r>
    </w:p>
    <w:p w14:paraId="4694FB0B">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CDA2F47">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C3C3F38">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B0BAD0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60DD3C7">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A828DB7">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E2A0E86">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新疆维吾尔自治区国土资源执法监察总队（行政单位和参照公务员法管理事业单位）机关运行经费支出115.46万元，比上年增加39.15万元，增长51.31%,主要原因是：</w:t>
      </w:r>
      <w:r>
        <w:rPr>
          <w:rFonts w:hint="eastAsia" w:eastAsia="仿宋_GB2312"/>
          <w:sz w:val="32"/>
          <w:szCs w:val="32"/>
          <w:lang w:eastAsia="zh-CN"/>
        </w:rPr>
        <w:t>本年排除特殊情况原因，加大力度开展各项管理督导工作，机关运行经费增加</w:t>
      </w:r>
      <w:r>
        <w:rPr>
          <w:rFonts w:hint="eastAsia" w:eastAsia="仿宋_GB2312"/>
          <w:sz w:val="32"/>
          <w:szCs w:val="32"/>
        </w:rPr>
        <w:t>。</w:t>
      </w:r>
    </w:p>
    <w:p w14:paraId="24D41F1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11F7B61">
      <w:pPr>
        <w:ind w:firstLine="640" w:firstLineChars="200"/>
        <w:jc w:val="left"/>
        <w:rPr>
          <w:rFonts w:eastAsia="仿宋_GB2312"/>
          <w:sz w:val="32"/>
          <w:szCs w:val="32"/>
          <w:lang w:val="zh-CN"/>
        </w:rPr>
      </w:pPr>
      <w:r>
        <w:rPr>
          <w:rFonts w:hint="eastAsia" w:eastAsia="仿宋_GB2312"/>
          <w:sz w:val="32"/>
          <w:szCs w:val="32"/>
          <w:lang w:val="zh-CN"/>
        </w:rPr>
        <w:t>2023年度政府采购支出总额191.84万元，其中：政府采购货物支出7.59万元、政府采购工程支出0.00万元、政府采购服务支出184.25万元。</w:t>
      </w:r>
    </w:p>
    <w:p w14:paraId="419B0EDB">
      <w:pPr>
        <w:ind w:firstLine="640" w:firstLineChars="200"/>
        <w:jc w:val="left"/>
        <w:rPr>
          <w:rFonts w:eastAsia="仿宋_GB2312"/>
          <w:sz w:val="32"/>
          <w:szCs w:val="32"/>
        </w:rPr>
      </w:pPr>
      <w:r>
        <w:rPr>
          <w:rFonts w:hint="eastAsia" w:eastAsia="仿宋_GB2312"/>
          <w:sz w:val="32"/>
          <w:szCs w:val="32"/>
          <w:lang w:val="zh-CN"/>
        </w:rPr>
        <w:t>授予中小企业合同金额191.84万元，占政府采购支出总额的100.00</w:t>
      </w:r>
      <w:r>
        <w:rPr>
          <w:rFonts w:eastAsia="仿宋_GB2312"/>
          <w:sz w:val="32"/>
          <w:szCs w:val="32"/>
          <w:lang w:val="zh-CN"/>
        </w:rPr>
        <w:t>%</w:t>
      </w:r>
      <w:r>
        <w:rPr>
          <w:rFonts w:hint="eastAsia" w:eastAsia="仿宋_GB2312"/>
          <w:sz w:val="32"/>
          <w:szCs w:val="32"/>
          <w:lang w:val="zh-CN"/>
        </w:rPr>
        <w:t>，其中：授予小微企业合同金额191.84万元，占政府采购支出总额的100.00</w:t>
      </w:r>
      <w:r>
        <w:rPr>
          <w:rFonts w:eastAsia="仿宋_GB2312"/>
          <w:sz w:val="32"/>
          <w:szCs w:val="32"/>
          <w:lang w:val="zh-CN"/>
        </w:rPr>
        <w:t>%</w:t>
      </w:r>
      <w:r>
        <w:rPr>
          <w:rFonts w:hint="eastAsia" w:eastAsia="仿宋_GB2312"/>
          <w:sz w:val="32"/>
          <w:szCs w:val="32"/>
        </w:rPr>
        <w:t>。</w:t>
      </w:r>
    </w:p>
    <w:p w14:paraId="524B68F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3BC9C2D">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1,432.52</w:t>
      </w:r>
      <w:r>
        <w:rPr>
          <w:rFonts w:hint="eastAsia" w:eastAsia="仿宋_GB2312"/>
          <w:sz w:val="32"/>
          <w:szCs w:val="32"/>
        </w:rPr>
        <w:t>万元，房</w:t>
      </w:r>
      <w:r>
        <w:rPr>
          <w:rFonts w:hint="eastAsia" w:eastAsia="仿宋_GB2312"/>
          <w:sz w:val="32"/>
          <w:szCs w:val="32"/>
          <w:lang w:val="zh-CN"/>
        </w:rPr>
        <w:t>屋0.0平方米，价值0.00万元。车辆8辆，价值315.59万元，其中：副部（省）级及以上领导用车0辆、主要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用车0辆、机要通信用车0辆、应急保障用车0辆、执法执勤用车5辆、特种专业技术用车0辆、离退休干部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用车0辆、其他用车3辆，其他用车主要是：工作业务用车；单价100万元（含）以上设备（不含车辆）2</w:t>
      </w:r>
      <w:r>
        <w:rPr>
          <w:rFonts w:hint="eastAsia" w:eastAsia="仿宋_GB2312"/>
          <w:sz w:val="32"/>
          <w:szCs w:val="32"/>
        </w:rPr>
        <w:t>台（</w:t>
      </w:r>
      <w:r>
        <w:rPr>
          <w:rFonts w:hint="eastAsia" w:eastAsia="仿宋_GB2312"/>
          <w:sz w:val="32"/>
          <w:szCs w:val="32"/>
          <w:lang w:val="zh-CN"/>
        </w:rPr>
        <w:t>套）。</w:t>
      </w:r>
    </w:p>
    <w:p w14:paraId="76505951">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FA97D28">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0.00</w:t>
      </w:r>
      <w:r>
        <w:rPr>
          <w:rFonts w:hint="eastAsia" w:ascii="仿宋_GB2312" w:eastAsia="仿宋_GB2312"/>
          <w:sz w:val="32"/>
          <w:szCs w:val="32"/>
        </w:rPr>
        <w:t>万元，实际执行总额</w:t>
      </w:r>
      <w:r>
        <w:rPr>
          <w:rFonts w:hint="eastAsia" w:ascii="仿宋_GB2312" w:eastAsia="仿宋_GB2312"/>
          <w:sz w:val="32"/>
          <w:szCs w:val="32"/>
          <w:lang w:val="en-US" w:eastAsia="zh-CN"/>
        </w:rPr>
        <w:t>0.00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0</w:t>
      </w:r>
      <w:r>
        <w:rPr>
          <w:rFonts w:hint="eastAsia" w:ascii="仿宋_GB2312" w:eastAsia="仿宋_GB2312"/>
          <w:sz w:val="32"/>
          <w:szCs w:val="32"/>
        </w:rPr>
        <w:t>个，全年预算数</w:t>
      </w:r>
      <w:r>
        <w:rPr>
          <w:rFonts w:hint="eastAsia" w:ascii="仿宋_GB2312" w:eastAsia="仿宋_GB2312"/>
          <w:sz w:val="32"/>
          <w:szCs w:val="32"/>
          <w:lang w:val="en-US" w:eastAsia="zh-CN"/>
        </w:rPr>
        <w:t>0.00</w:t>
      </w:r>
      <w:r>
        <w:rPr>
          <w:rFonts w:hint="eastAsia" w:ascii="仿宋_GB2312" w:eastAsia="仿宋_GB2312"/>
          <w:sz w:val="32"/>
          <w:szCs w:val="32"/>
        </w:rPr>
        <w:t>万元，全年执行数</w:t>
      </w:r>
      <w:r>
        <w:rPr>
          <w:rFonts w:hint="eastAsia" w:ascii="仿宋_GB2312" w:eastAsia="仿宋_GB2312"/>
          <w:sz w:val="32"/>
          <w:szCs w:val="32"/>
          <w:lang w:val="en-US" w:eastAsia="zh-CN"/>
        </w:rPr>
        <w:t>0.00</w:t>
      </w:r>
      <w:r>
        <w:rPr>
          <w:rFonts w:hint="eastAsia" w:ascii="仿宋_GB2312" w:eastAsia="仿宋_GB2312"/>
          <w:sz w:val="32"/>
          <w:szCs w:val="32"/>
        </w:rPr>
        <w:t>万元。预算绩效管理取得的成效：</w:t>
      </w:r>
      <w:r>
        <w:rPr>
          <w:rFonts w:ascii="仿宋_GB2312" w:eastAsia="仿宋_GB2312"/>
          <w:sz w:val="32"/>
          <w:szCs w:val="32"/>
        </w:rPr>
        <w:t>我单位无预算绩效评价项目</w:t>
      </w:r>
      <w:r>
        <w:rPr>
          <w:rFonts w:hint="eastAsia" w:ascii="仿宋_GB2312" w:eastAsia="仿宋_GB2312"/>
          <w:sz w:val="32"/>
          <w:szCs w:val="32"/>
        </w:rPr>
        <w:t>。发现的问题及原因：</w:t>
      </w:r>
      <w:r>
        <w:rPr>
          <w:rFonts w:ascii="仿宋_GB2312" w:eastAsia="仿宋_GB2312"/>
          <w:sz w:val="32"/>
          <w:szCs w:val="32"/>
        </w:rPr>
        <w:t>我单位无预算绩效评价项目</w:t>
      </w:r>
      <w:r>
        <w:rPr>
          <w:rFonts w:hint="eastAsia" w:ascii="仿宋_GB2312" w:eastAsia="仿宋_GB2312"/>
          <w:sz w:val="32"/>
          <w:szCs w:val="32"/>
        </w:rPr>
        <w:t>。下一步改进措施：</w:t>
      </w:r>
      <w:r>
        <w:rPr>
          <w:rFonts w:ascii="仿宋_GB2312" w:eastAsia="仿宋_GB2312"/>
          <w:sz w:val="32"/>
          <w:szCs w:val="32"/>
        </w:rPr>
        <w:t>我单位无预算绩效评价项目</w:t>
      </w:r>
      <w:r>
        <w:rPr>
          <w:rFonts w:hint="eastAsia" w:ascii="仿宋_GB2312" w:eastAsia="仿宋_GB2312"/>
          <w:sz w:val="32"/>
          <w:szCs w:val="32"/>
        </w:rPr>
        <w:t>。</w:t>
      </w:r>
    </w:p>
    <w:p w14:paraId="0025D253">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5940C28">
      <w:pPr>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14:paraId="4DF3083C">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14551D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7D5DF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F16661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83B3C7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5573F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CBCCC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97C72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770408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67B8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C0327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D74399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21FA8B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6C98F9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994A4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56D18E9">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1CDE344C">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E437BFE">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D47D170">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6F8DF29F">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919D9EA">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6EB1FB4">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615DA3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2BB448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A452CB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316CFEF">
      <w:pPr>
        <w:ind w:firstLine="640" w:firstLineChars="200"/>
        <w:rPr>
          <w:rFonts w:ascii="仿宋_GB2312" w:eastAsia="仿宋_GB2312"/>
          <w:sz w:val="32"/>
          <w:szCs w:val="32"/>
        </w:rPr>
      </w:pPr>
    </w:p>
    <w:p w14:paraId="37951AF0">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067B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C34165">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FC34165">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AD5876"/>
    <w:rsid w:val="00213C59"/>
    <w:rsid w:val="003210CE"/>
    <w:rsid w:val="00AD5876"/>
    <w:rsid w:val="00B70D59"/>
    <w:rsid w:val="00E425EA"/>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F32333"/>
    <w:rsid w:val="2F3F0A28"/>
    <w:rsid w:val="2FBF7029"/>
    <w:rsid w:val="2FD0187F"/>
    <w:rsid w:val="2FD27414"/>
    <w:rsid w:val="2FFE4BB0"/>
    <w:rsid w:val="300E7B60"/>
    <w:rsid w:val="300F6E18"/>
    <w:rsid w:val="30712E41"/>
    <w:rsid w:val="30862F5F"/>
    <w:rsid w:val="314029C9"/>
    <w:rsid w:val="31C63837"/>
    <w:rsid w:val="31C82E39"/>
    <w:rsid w:val="32601BAD"/>
    <w:rsid w:val="329F6389"/>
    <w:rsid w:val="3389023A"/>
    <w:rsid w:val="33CB74FA"/>
    <w:rsid w:val="343642F2"/>
    <w:rsid w:val="343F3010"/>
    <w:rsid w:val="345D0A00"/>
    <w:rsid w:val="34713BFD"/>
    <w:rsid w:val="34C13589"/>
    <w:rsid w:val="353369E3"/>
    <w:rsid w:val="357E4167"/>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476D4C"/>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5768</Words>
  <Characters>6649</Characters>
  <Lines>16</Lines>
  <Paragraphs>16</Paragraphs>
  <TotalTime>13</TotalTime>
  <ScaleCrop>false</ScaleCrop>
  <LinksUpToDate>false</LinksUpToDate>
  <CharactersWithSpaces>6674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2024-08-12T03:48:00Z</dcterms:created>
  <dc:creator>GXR</dc:creator>
  <cp:lastModifiedBy>琪琪妈妈</cp:lastModifiedBy>
  <dcterms:modified xsi:type="dcterms:W3CDTF">2024-08-27T10:22:24Z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