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2B75D3">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56A0458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05B0E46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石河子市国土资源执法监察支队</w:t>
      </w:r>
    </w:p>
    <w:p w14:paraId="0755FAE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9AB41D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AFC554C">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7CA953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2F3A75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4A08DC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D0F210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3548F19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C42846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27943E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4E18BE7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7045137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1A511B1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1C5579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ECF4FC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4CB038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44F4F90">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DF1C5A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3AD0CBC">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04D38357">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D7CF7DB">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5712593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7638F12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62DA2E8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D1887D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19366C2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00AF71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C53F03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BB90EB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D85EDA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0F0B32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F84A6F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54E7CA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15400BE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ACB0C21">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63E25F2C">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EAEA6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2216B2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61D3404C">
      <w:pPr>
        <w:snapToGrid/>
        <w:spacing w:line="560" w:lineRule="exact"/>
        <w:ind w:firstLine="542"/>
        <w:jc w:val="both"/>
        <w:rPr>
          <w:rFonts w:ascii="仿宋" w:hAnsi="仿宋" w:eastAsia="仿宋" w:cs="仿宋"/>
          <w:color w:val="auto"/>
          <w:sz w:val="31"/>
          <w:szCs w:val="31"/>
        </w:rPr>
      </w:pPr>
      <w:bookmarkStart w:id="4" w:name="_Toc31238"/>
      <w:bookmarkStart w:id="5" w:name="_Toc2151"/>
      <w:r>
        <w:rPr>
          <w:rFonts w:hint="eastAsia" w:ascii="仿宋" w:hAnsi="仿宋" w:eastAsia="仿宋" w:cs="仿宋"/>
          <w:color w:val="auto"/>
          <w:spacing w:val="12"/>
          <w:sz w:val="31"/>
          <w:szCs w:val="31"/>
          <w:lang w:eastAsia="zh-CN"/>
        </w:rPr>
        <w:t>石河子市国土资源执法监察支队</w:t>
      </w:r>
      <w:r>
        <w:rPr>
          <w:rFonts w:ascii="仿宋" w:hAnsi="仿宋" w:eastAsia="仿宋" w:cs="仿宋"/>
          <w:color w:val="auto"/>
          <w:spacing w:val="12"/>
          <w:sz w:val="31"/>
          <w:szCs w:val="31"/>
        </w:rPr>
        <w:t>，为自治区自然资源厅下</w:t>
      </w:r>
      <w:r>
        <w:rPr>
          <w:rFonts w:ascii="仿宋" w:hAnsi="仿宋" w:eastAsia="仿宋" w:cs="仿宋"/>
          <w:color w:val="auto"/>
          <w:spacing w:val="-1"/>
          <w:sz w:val="31"/>
          <w:szCs w:val="31"/>
        </w:rPr>
        <w:t>属</w:t>
      </w:r>
      <w:r>
        <w:rPr>
          <w:rFonts w:hint="eastAsia" w:ascii="仿宋" w:hAnsi="仿宋" w:eastAsia="仿宋" w:cs="仿宋"/>
          <w:color w:val="auto"/>
          <w:spacing w:val="-1"/>
          <w:sz w:val="31"/>
          <w:szCs w:val="31"/>
          <w:lang w:eastAsia="zh-CN"/>
        </w:rPr>
        <w:t>副县</w:t>
      </w:r>
      <w:r>
        <w:rPr>
          <w:rFonts w:ascii="仿宋" w:hAnsi="仿宋" w:eastAsia="仿宋" w:cs="仿宋"/>
          <w:color w:val="auto"/>
          <w:spacing w:val="-1"/>
          <w:sz w:val="31"/>
          <w:szCs w:val="31"/>
        </w:rPr>
        <w:t>级单位，参照公务员</w:t>
      </w:r>
      <w:r>
        <w:rPr>
          <w:rFonts w:hint="eastAsia" w:ascii="仿宋" w:hAnsi="仿宋" w:eastAsia="仿宋" w:cs="仿宋"/>
          <w:color w:val="auto"/>
          <w:spacing w:val="-1"/>
          <w:sz w:val="31"/>
          <w:szCs w:val="31"/>
          <w:lang w:eastAsia="zh-CN"/>
        </w:rPr>
        <w:t>法</w:t>
      </w:r>
      <w:r>
        <w:rPr>
          <w:rFonts w:ascii="仿宋" w:hAnsi="仿宋" w:eastAsia="仿宋" w:cs="仿宋"/>
          <w:color w:val="auto"/>
          <w:spacing w:val="-1"/>
          <w:sz w:val="31"/>
          <w:szCs w:val="31"/>
        </w:rPr>
        <w:t>管理</w:t>
      </w:r>
      <w:r>
        <w:rPr>
          <w:rFonts w:hint="eastAsia" w:ascii="仿宋" w:hAnsi="仿宋" w:eastAsia="仿宋" w:cs="仿宋"/>
          <w:color w:val="auto"/>
          <w:spacing w:val="-1"/>
          <w:sz w:val="31"/>
          <w:szCs w:val="31"/>
          <w:lang w:eastAsia="zh-CN"/>
        </w:rPr>
        <w:t>的事业单位</w:t>
      </w:r>
      <w:r>
        <w:rPr>
          <w:rFonts w:ascii="仿宋" w:hAnsi="仿宋" w:eastAsia="仿宋" w:cs="仿宋"/>
          <w:color w:val="auto"/>
          <w:spacing w:val="-1"/>
          <w:sz w:val="31"/>
          <w:szCs w:val="31"/>
        </w:rPr>
        <w:t>。实行垂直管理，统一履行</w:t>
      </w:r>
      <w:r>
        <w:rPr>
          <w:rFonts w:hint="eastAsia" w:ascii="仿宋" w:hAnsi="仿宋" w:eastAsia="仿宋" w:cs="仿宋"/>
          <w:color w:val="auto"/>
          <w:spacing w:val="-1"/>
          <w:sz w:val="31"/>
          <w:szCs w:val="31"/>
          <w:lang w:eastAsia="zh-CN"/>
        </w:rPr>
        <w:t>石河子市国土</w:t>
      </w:r>
      <w:r>
        <w:rPr>
          <w:rFonts w:ascii="仿宋" w:hAnsi="仿宋" w:eastAsia="仿宋" w:cs="仿宋"/>
          <w:color w:val="auto"/>
          <w:spacing w:val="-1"/>
          <w:sz w:val="31"/>
          <w:szCs w:val="31"/>
        </w:rPr>
        <w:t>资源执法监察</w:t>
      </w:r>
      <w:r>
        <w:rPr>
          <w:rFonts w:ascii="仿宋" w:hAnsi="仿宋" w:eastAsia="仿宋" w:cs="仿宋"/>
          <w:color w:val="auto"/>
          <w:spacing w:val="-9"/>
          <w:sz w:val="31"/>
          <w:szCs w:val="31"/>
        </w:rPr>
        <w:t>职能。</w:t>
      </w:r>
    </w:p>
    <w:p w14:paraId="3BBB0ECD">
      <w:pPr>
        <w:spacing w:line="520" w:lineRule="exact"/>
        <w:ind w:firstLine="668" w:firstLineChars="200"/>
        <w:rPr>
          <w:rFonts w:hint="eastAsia" w:ascii="仿宋_GB2312" w:eastAsia="仿宋_GB2312"/>
          <w:sz w:val="32"/>
          <w:szCs w:val="32"/>
        </w:rPr>
      </w:pPr>
      <w:r>
        <w:rPr>
          <w:rFonts w:hint="eastAsia" w:ascii="仿宋" w:hAnsi="仿宋" w:eastAsia="仿宋" w:cs="仿宋"/>
          <w:color w:val="auto"/>
          <w:spacing w:val="12"/>
          <w:sz w:val="31"/>
          <w:szCs w:val="31"/>
          <w:lang w:eastAsia="zh-CN"/>
        </w:rPr>
        <w:t>1、</w:t>
      </w:r>
      <w:r>
        <w:rPr>
          <w:rFonts w:hint="eastAsia" w:ascii="仿宋_GB2312" w:eastAsia="仿宋_GB2312"/>
          <w:sz w:val="32"/>
          <w:szCs w:val="32"/>
        </w:rPr>
        <w:t>宣传和贯彻执行国家、自治区有关土地、矿产资源的法律、法规、规章和政策。</w:t>
      </w:r>
    </w:p>
    <w:p w14:paraId="73EA3D26">
      <w:pPr>
        <w:spacing w:line="52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w:t>
      </w:r>
      <w:r>
        <w:rPr>
          <w:rFonts w:hint="eastAsia" w:ascii="仿宋_GB2312" w:eastAsia="仿宋_GB2312"/>
          <w:sz w:val="32"/>
          <w:szCs w:val="32"/>
        </w:rPr>
        <w:t>、组织对执行和遵守土地、矿产资源法律、法规、规章有关情况的监督检查，及时发现和制止土地、矿产资源违法行为。</w:t>
      </w:r>
    </w:p>
    <w:p w14:paraId="02FAD00E">
      <w:pPr>
        <w:spacing w:line="52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3</w:t>
      </w:r>
      <w:r>
        <w:rPr>
          <w:rFonts w:hint="eastAsia" w:ascii="仿宋_GB2312" w:eastAsia="仿宋_GB2312"/>
          <w:sz w:val="32"/>
          <w:szCs w:val="32"/>
        </w:rPr>
        <w:t>、组织开展对贯彻和执行土地、矿产资源管理法律、法规、规章及有关政策的行政审批和行政许可行为的监督检查。</w:t>
      </w:r>
    </w:p>
    <w:p w14:paraId="26F01A9E">
      <w:pPr>
        <w:spacing w:line="52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4</w:t>
      </w:r>
      <w:r>
        <w:rPr>
          <w:rFonts w:hint="eastAsia" w:ascii="仿宋_GB2312" w:eastAsia="仿宋_GB2312"/>
          <w:sz w:val="32"/>
          <w:szCs w:val="32"/>
        </w:rPr>
        <w:t>、受理对土地、矿产资源违法行为的检举、举报和控告。</w:t>
      </w:r>
    </w:p>
    <w:p w14:paraId="20D8CD9C">
      <w:pPr>
        <w:spacing w:line="52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5</w:t>
      </w:r>
      <w:r>
        <w:rPr>
          <w:rFonts w:hint="eastAsia" w:ascii="仿宋_GB2312" w:eastAsia="仿宋_GB2312"/>
          <w:sz w:val="32"/>
          <w:szCs w:val="32"/>
        </w:rPr>
        <w:t>、立案查处土地、矿产违法案件。配合有关部门司法机关查处涉及违反土地、矿产资源法律法规的案件。</w:t>
      </w:r>
    </w:p>
    <w:p w14:paraId="077EBAEE">
      <w:pPr>
        <w:spacing w:line="52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6</w:t>
      </w:r>
      <w:r>
        <w:rPr>
          <w:rFonts w:hint="eastAsia" w:ascii="仿宋_GB2312" w:eastAsia="仿宋_GB2312"/>
          <w:sz w:val="32"/>
          <w:szCs w:val="32"/>
        </w:rPr>
        <w:t>、对违反土地、矿产资源管理法律法规，依法应当给予行政处分的个人和单位负责人，依法提出给予行政处分的建议。</w:t>
      </w:r>
    </w:p>
    <w:p w14:paraId="40677080">
      <w:pPr>
        <w:spacing w:line="52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7</w:t>
      </w:r>
      <w:r>
        <w:rPr>
          <w:rFonts w:hint="eastAsia" w:ascii="仿宋_GB2312" w:eastAsia="仿宋_GB2312"/>
          <w:sz w:val="32"/>
          <w:szCs w:val="32"/>
        </w:rPr>
        <w:t>、负责违法案件的行政复议和行政诉讼工作。负责违法案件的统计和分析工作。</w:t>
      </w:r>
    </w:p>
    <w:p w14:paraId="1979F6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r>
        <w:rPr>
          <w:rFonts w:hint="eastAsia" w:ascii="仿宋_GB2312" w:eastAsia="仿宋_GB2312"/>
          <w:sz w:val="32"/>
          <w:szCs w:val="32"/>
          <w:lang w:eastAsia="zh-CN"/>
        </w:rPr>
        <w:t>8</w:t>
      </w:r>
      <w:r>
        <w:rPr>
          <w:rFonts w:hint="eastAsia" w:ascii="仿宋_GB2312" w:eastAsia="仿宋_GB2312"/>
          <w:sz w:val="32"/>
          <w:szCs w:val="32"/>
        </w:rPr>
        <w:t>、完成上级有关部门交办的其他工作。</w:t>
      </w:r>
    </w:p>
    <w:p w14:paraId="2332F7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46202A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石河子市国土资源执法监察支队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14:paraId="652886AF">
      <w:pPr>
        <w:snapToGrid/>
        <w:spacing w:line="560" w:lineRule="exact"/>
        <w:ind w:firstLine="542"/>
        <w:jc w:val="both"/>
        <w:rPr>
          <w:rFonts w:hint="eastAsia" w:ascii="仿宋" w:hAnsi="仿宋" w:eastAsia="仿宋" w:cs="仿宋"/>
          <w:color w:val="auto"/>
          <w:spacing w:val="12"/>
          <w:sz w:val="31"/>
          <w:szCs w:val="31"/>
          <w:lang w:eastAsia="zh-CN"/>
        </w:rPr>
      </w:pPr>
      <w:bookmarkStart w:id="6" w:name="_Toc3092"/>
      <w:bookmarkStart w:id="7" w:name="_Toc29374"/>
      <w:r>
        <w:rPr>
          <w:rFonts w:hint="eastAsia" w:ascii="仿宋" w:hAnsi="仿宋" w:eastAsia="仿宋" w:cs="仿宋"/>
          <w:color w:val="auto"/>
          <w:spacing w:val="12"/>
          <w:sz w:val="31"/>
          <w:szCs w:val="31"/>
          <w:lang w:eastAsia="zh-CN"/>
        </w:rPr>
        <w:t>单位无下属预算单位，下设两个科室，分别是：办公室和执法监察科。</w:t>
      </w:r>
    </w:p>
    <w:p w14:paraId="4A0BFE44">
      <w:pPr>
        <w:snapToGrid/>
        <w:spacing w:line="560" w:lineRule="exact"/>
        <w:ind w:firstLine="542"/>
        <w:jc w:val="both"/>
        <w:rPr>
          <w:rFonts w:hint="eastAsia" w:ascii="仿宋" w:hAnsi="仿宋" w:eastAsia="仿宋" w:cs="仿宋"/>
          <w:color w:val="auto"/>
          <w:spacing w:val="12"/>
          <w:sz w:val="31"/>
          <w:szCs w:val="31"/>
          <w:lang w:eastAsia="zh-CN"/>
        </w:rPr>
      </w:pPr>
    </w:p>
    <w:p w14:paraId="79406F5A">
      <w:pPr>
        <w:snapToGrid/>
        <w:spacing w:line="560" w:lineRule="exact"/>
        <w:ind w:firstLine="542"/>
        <w:jc w:val="both"/>
        <w:rPr>
          <w:rFonts w:hint="eastAsia" w:ascii="仿宋" w:hAnsi="仿宋" w:eastAsia="仿宋" w:cs="仿宋"/>
          <w:color w:val="auto"/>
          <w:spacing w:val="12"/>
          <w:sz w:val="31"/>
          <w:szCs w:val="31"/>
          <w:lang w:eastAsia="zh-CN"/>
        </w:rPr>
      </w:pPr>
    </w:p>
    <w:p w14:paraId="57DD5F30">
      <w:pPr>
        <w:snapToGrid/>
        <w:spacing w:line="560" w:lineRule="exact"/>
        <w:ind w:firstLine="542"/>
        <w:jc w:val="both"/>
        <w:rPr>
          <w:rFonts w:hint="eastAsia" w:ascii="仿宋" w:hAnsi="仿宋" w:eastAsia="仿宋" w:cs="仿宋"/>
          <w:color w:val="auto"/>
          <w:spacing w:val="12"/>
          <w:sz w:val="31"/>
          <w:szCs w:val="31"/>
          <w:lang w:eastAsia="zh-CN"/>
        </w:rPr>
      </w:pPr>
    </w:p>
    <w:p w14:paraId="5B5C8843">
      <w:pPr>
        <w:snapToGrid/>
        <w:spacing w:line="560" w:lineRule="exact"/>
        <w:ind w:firstLine="542"/>
        <w:jc w:val="both"/>
        <w:rPr>
          <w:rFonts w:hint="eastAsia" w:ascii="仿宋" w:hAnsi="仿宋" w:eastAsia="仿宋" w:cs="仿宋"/>
          <w:color w:val="auto"/>
          <w:spacing w:val="12"/>
          <w:sz w:val="31"/>
          <w:szCs w:val="31"/>
          <w:lang w:eastAsia="zh-CN"/>
        </w:rPr>
      </w:pPr>
    </w:p>
    <w:p w14:paraId="67F0BC23">
      <w:pPr>
        <w:snapToGrid/>
        <w:spacing w:line="560" w:lineRule="exact"/>
        <w:ind w:firstLine="542"/>
        <w:jc w:val="both"/>
        <w:rPr>
          <w:rFonts w:hint="eastAsia" w:ascii="仿宋" w:hAnsi="仿宋" w:eastAsia="仿宋" w:cs="仿宋"/>
          <w:color w:val="auto"/>
          <w:spacing w:val="12"/>
          <w:sz w:val="31"/>
          <w:szCs w:val="31"/>
          <w:lang w:eastAsia="zh-CN"/>
        </w:rPr>
      </w:pPr>
    </w:p>
    <w:p w14:paraId="7FB23B11">
      <w:pPr>
        <w:snapToGrid/>
        <w:spacing w:line="560" w:lineRule="exact"/>
        <w:ind w:firstLine="542"/>
        <w:jc w:val="both"/>
        <w:rPr>
          <w:rFonts w:hint="eastAsia" w:ascii="仿宋" w:hAnsi="仿宋" w:eastAsia="仿宋" w:cs="仿宋"/>
          <w:color w:val="auto"/>
          <w:spacing w:val="12"/>
          <w:sz w:val="31"/>
          <w:szCs w:val="31"/>
          <w:lang w:eastAsia="zh-CN"/>
        </w:rPr>
      </w:pPr>
    </w:p>
    <w:p w14:paraId="3981B886">
      <w:pPr>
        <w:snapToGrid/>
        <w:spacing w:line="560" w:lineRule="exact"/>
        <w:ind w:firstLine="542"/>
        <w:jc w:val="both"/>
        <w:rPr>
          <w:rFonts w:hint="eastAsia" w:ascii="仿宋" w:hAnsi="仿宋" w:eastAsia="仿宋" w:cs="仿宋"/>
          <w:color w:val="auto"/>
          <w:spacing w:val="12"/>
          <w:sz w:val="31"/>
          <w:szCs w:val="31"/>
          <w:lang w:eastAsia="zh-CN"/>
        </w:rPr>
      </w:pPr>
    </w:p>
    <w:p w14:paraId="4FBF8CD1">
      <w:pPr>
        <w:snapToGrid/>
        <w:spacing w:line="560" w:lineRule="exact"/>
        <w:ind w:firstLine="542"/>
        <w:jc w:val="both"/>
        <w:rPr>
          <w:rFonts w:hint="eastAsia" w:ascii="仿宋" w:hAnsi="仿宋" w:eastAsia="仿宋" w:cs="仿宋"/>
          <w:color w:val="auto"/>
          <w:spacing w:val="12"/>
          <w:sz w:val="31"/>
          <w:szCs w:val="31"/>
          <w:lang w:eastAsia="zh-CN"/>
        </w:rPr>
      </w:pPr>
    </w:p>
    <w:p w14:paraId="2105CEDB">
      <w:pPr>
        <w:snapToGrid/>
        <w:spacing w:line="560" w:lineRule="exact"/>
        <w:ind w:firstLine="542"/>
        <w:jc w:val="both"/>
        <w:rPr>
          <w:rFonts w:hint="eastAsia" w:ascii="仿宋" w:hAnsi="仿宋" w:eastAsia="仿宋" w:cs="仿宋"/>
          <w:color w:val="auto"/>
          <w:spacing w:val="12"/>
          <w:sz w:val="31"/>
          <w:szCs w:val="31"/>
          <w:lang w:eastAsia="zh-CN"/>
        </w:rPr>
      </w:pPr>
    </w:p>
    <w:p w14:paraId="3988ADCC">
      <w:pPr>
        <w:snapToGrid/>
        <w:spacing w:line="560" w:lineRule="exact"/>
        <w:ind w:firstLine="542"/>
        <w:jc w:val="both"/>
        <w:rPr>
          <w:rFonts w:hint="eastAsia" w:ascii="仿宋" w:hAnsi="仿宋" w:eastAsia="仿宋" w:cs="仿宋"/>
          <w:color w:val="auto"/>
          <w:spacing w:val="12"/>
          <w:sz w:val="31"/>
          <w:szCs w:val="31"/>
          <w:lang w:eastAsia="zh-CN"/>
        </w:rPr>
      </w:pPr>
    </w:p>
    <w:p w14:paraId="5DD3D49D">
      <w:pPr>
        <w:snapToGrid/>
        <w:spacing w:line="560" w:lineRule="exact"/>
        <w:ind w:firstLine="542"/>
        <w:jc w:val="both"/>
        <w:rPr>
          <w:rFonts w:hint="eastAsia" w:ascii="仿宋" w:hAnsi="仿宋" w:eastAsia="仿宋" w:cs="仿宋"/>
          <w:color w:val="auto"/>
          <w:spacing w:val="12"/>
          <w:sz w:val="31"/>
          <w:szCs w:val="31"/>
          <w:lang w:eastAsia="zh-CN"/>
        </w:rPr>
      </w:pPr>
    </w:p>
    <w:p w14:paraId="296658B5">
      <w:pPr>
        <w:snapToGrid/>
        <w:spacing w:line="560" w:lineRule="exact"/>
        <w:ind w:firstLine="542"/>
        <w:jc w:val="both"/>
        <w:rPr>
          <w:rFonts w:hint="eastAsia" w:ascii="仿宋" w:hAnsi="仿宋" w:eastAsia="仿宋" w:cs="仿宋"/>
          <w:color w:val="auto"/>
          <w:spacing w:val="12"/>
          <w:sz w:val="31"/>
          <w:szCs w:val="31"/>
          <w:lang w:eastAsia="zh-CN"/>
        </w:rPr>
      </w:pPr>
    </w:p>
    <w:p w14:paraId="06B3651A">
      <w:pPr>
        <w:snapToGrid/>
        <w:spacing w:line="560" w:lineRule="exact"/>
        <w:ind w:firstLine="542"/>
        <w:jc w:val="both"/>
        <w:rPr>
          <w:rFonts w:hint="eastAsia" w:ascii="仿宋" w:hAnsi="仿宋" w:eastAsia="仿宋" w:cs="仿宋"/>
          <w:color w:val="auto"/>
          <w:spacing w:val="12"/>
          <w:sz w:val="31"/>
          <w:szCs w:val="31"/>
          <w:lang w:eastAsia="zh-CN"/>
        </w:rPr>
      </w:pPr>
    </w:p>
    <w:p w14:paraId="51ABD1AB">
      <w:pPr>
        <w:snapToGrid/>
        <w:spacing w:line="560" w:lineRule="exact"/>
        <w:ind w:firstLine="542"/>
        <w:jc w:val="both"/>
        <w:rPr>
          <w:rFonts w:hint="eastAsia" w:ascii="仿宋" w:hAnsi="仿宋" w:eastAsia="仿宋" w:cs="仿宋"/>
          <w:color w:val="auto"/>
          <w:spacing w:val="12"/>
          <w:sz w:val="31"/>
          <w:szCs w:val="31"/>
          <w:lang w:eastAsia="zh-CN"/>
        </w:rPr>
      </w:pPr>
    </w:p>
    <w:p w14:paraId="7B8489F5">
      <w:pPr>
        <w:snapToGrid/>
        <w:spacing w:line="560" w:lineRule="exact"/>
        <w:ind w:firstLine="542"/>
        <w:jc w:val="both"/>
        <w:rPr>
          <w:rFonts w:hint="eastAsia" w:ascii="仿宋" w:hAnsi="仿宋" w:eastAsia="仿宋" w:cs="仿宋"/>
          <w:color w:val="auto"/>
          <w:spacing w:val="12"/>
          <w:sz w:val="31"/>
          <w:szCs w:val="31"/>
          <w:lang w:eastAsia="zh-CN"/>
        </w:rPr>
      </w:pPr>
    </w:p>
    <w:p w14:paraId="4D0EF387">
      <w:pPr>
        <w:snapToGrid/>
        <w:spacing w:line="560" w:lineRule="exact"/>
        <w:ind w:firstLine="542"/>
        <w:jc w:val="both"/>
        <w:rPr>
          <w:rFonts w:hint="eastAsia" w:ascii="仿宋" w:hAnsi="仿宋" w:eastAsia="仿宋" w:cs="仿宋"/>
          <w:color w:val="auto"/>
          <w:spacing w:val="12"/>
          <w:sz w:val="31"/>
          <w:szCs w:val="31"/>
          <w:lang w:eastAsia="zh-CN"/>
        </w:rPr>
      </w:pPr>
    </w:p>
    <w:p w14:paraId="4C7EE54E">
      <w:pPr>
        <w:snapToGrid/>
        <w:spacing w:line="560" w:lineRule="exact"/>
        <w:ind w:firstLine="542"/>
        <w:jc w:val="both"/>
        <w:rPr>
          <w:rFonts w:hint="eastAsia" w:ascii="仿宋" w:hAnsi="仿宋" w:eastAsia="仿宋" w:cs="仿宋"/>
          <w:color w:val="auto"/>
          <w:spacing w:val="12"/>
          <w:sz w:val="31"/>
          <w:szCs w:val="31"/>
          <w:lang w:eastAsia="zh-CN"/>
        </w:rPr>
      </w:pPr>
    </w:p>
    <w:p w14:paraId="63DFF367">
      <w:pPr>
        <w:snapToGrid/>
        <w:spacing w:line="560" w:lineRule="exact"/>
        <w:ind w:firstLine="542"/>
        <w:jc w:val="both"/>
        <w:rPr>
          <w:rFonts w:hint="eastAsia" w:ascii="仿宋" w:hAnsi="仿宋" w:eastAsia="仿宋" w:cs="仿宋"/>
          <w:color w:val="auto"/>
          <w:spacing w:val="12"/>
          <w:sz w:val="31"/>
          <w:szCs w:val="31"/>
          <w:lang w:eastAsia="zh-CN"/>
        </w:rPr>
      </w:pPr>
    </w:p>
    <w:p w14:paraId="7167D0FD">
      <w:pPr>
        <w:snapToGrid/>
        <w:spacing w:line="560" w:lineRule="exact"/>
        <w:ind w:firstLine="542"/>
        <w:jc w:val="both"/>
        <w:rPr>
          <w:rFonts w:hint="eastAsia" w:ascii="仿宋" w:hAnsi="仿宋" w:eastAsia="仿宋" w:cs="仿宋"/>
          <w:color w:val="auto"/>
          <w:spacing w:val="12"/>
          <w:sz w:val="31"/>
          <w:szCs w:val="31"/>
          <w:lang w:eastAsia="zh-CN"/>
        </w:rPr>
      </w:pPr>
    </w:p>
    <w:p w14:paraId="3D4A78E9">
      <w:pPr>
        <w:snapToGrid/>
        <w:spacing w:line="560" w:lineRule="exact"/>
        <w:ind w:firstLine="542"/>
        <w:jc w:val="both"/>
        <w:rPr>
          <w:rFonts w:hint="eastAsia" w:ascii="仿宋" w:hAnsi="仿宋" w:eastAsia="仿宋" w:cs="仿宋"/>
          <w:color w:val="auto"/>
          <w:spacing w:val="12"/>
          <w:sz w:val="31"/>
          <w:szCs w:val="31"/>
          <w:lang w:eastAsia="zh-CN"/>
        </w:rPr>
      </w:pPr>
    </w:p>
    <w:p w14:paraId="61443E9B">
      <w:pPr>
        <w:snapToGrid/>
        <w:spacing w:line="560" w:lineRule="exact"/>
        <w:ind w:firstLine="542"/>
        <w:jc w:val="both"/>
        <w:rPr>
          <w:rFonts w:hint="eastAsia" w:ascii="仿宋" w:hAnsi="仿宋" w:eastAsia="仿宋" w:cs="仿宋"/>
          <w:color w:val="auto"/>
          <w:spacing w:val="12"/>
          <w:sz w:val="31"/>
          <w:szCs w:val="31"/>
          <w:lang w:eastAsia="zh-CN"/>
        </w:rPr>
      </w:pPr>
    </w:p>
    <w:p w14:paraId="73BC06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02544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C619A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269.24万元，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219.30万元，使用非财政拨款结余0.00万元，年初结转和结余49.94万元。</w:t>
      </w:r>
    </w:p>
    <w:p w14:paraId="692A4E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269.24万元，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257.25万元，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0.00万元，年末结转和结余11.99万元。</w:t>
      </w:r>
    </w:p>
    <w:p w14:paraId="449C59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增加6.95万元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增长2.65%</w:t>
      </w:r>
      <w:r>
        <w:rPr>
          <w:rFonts w:hint="eastAsia" w:ascii="仿宋_GB2312" w:eastAsia="仿宋_GB2312"/>
          <w:color w:val="auto"/>
          <w:spacing w:val="0"/>
          <w:sz w:val="32"/>
          <w:szCs w:val="32"/>
          <w:highlight w:val="none"/>
          <w:lang w:eastAsia="zh-CN"/>
        </w:rPr>
        <w:t>，主要原因是：</w:t>
      </w:r>
      <w:r>
        <w:rPr>
          <w:rFonts w:hint="eastAsia" w:eastAsia="仿宋"/>
          <w:color w:val="auto"/>
          <w:spacing w:val="2"/>
          <w:sz w:val="31"/>
          <w:szCs w:val="31"/>
          <w:lang w:eastAsia="zh-CN"/>
        </w:rPr>
        <w:t>调资增资追加预算等经费款项</w:t>
      </w:r>
      <w:r>
        <w:rPr>
          <w:rFonts w:hint="eastAsia" w:ascii="仿宋" w:hAnsi="仿宋" w:eastAsia="仿宋" w:cs="仿宋"/>
          <w:color w:val="auto"/>
          <w:spacing w:val="2"/>
          <w:sz w:val="31"/>
          <w:szCs w:val="31"/>
          <w:lang w:eastAsia="zh-CN"/>
        </w:rPr>
        <w:t>（</w:t>
      </w:r>
      <w:r>
        <w:rPr>
          <w:rFonts w:ascii="仿宋" w:hAnsi="仿宋" w:eastAsia="仿宋" w:cs="仿宋"/>
          <w:color w:val="auto"/>
          <w:spacing w:val="2"/>
          <w:sz w:val="31"/>
          <w:szCs w:val="31"/>
        </w:rPr>
        <w:t>津贴</w:t>
      </w:r>
      <w:r>
        <w:rPr>
          <w:rFonts w:hint="eastAsia" w:ascii="仿宋" w:hAnsi="仿宋" w:eastAsia="仿宋" w:cs="仿宋"/>
          <w:color w:val="auto"/>
          <w:spacing w:val="2"/>
          <w:sz w:val="31"/>
          <w:szCs w:val="31"/>
          <w:lang w:eastAsia="zh-CN"/>
        </w:rPr>
        <w:t>等</w:t>
      </w:r>
      <w:r>
        <w:rPr>
          <w:rFonts w:ascii="仿宋" w:hAnsi="仿宋" w:eastAsia="仿宋" w:cs="仿宋"/>
          <w:color w:val="auto"/>
          <w:spacing w:val="2"/>
          <w:sz w:val="31"/>
          <w:szCs w:val="31"/>
        </w:rPr>
        <w:t>预算</w:t>
      </w:r>
      <w:r>
        <w:rPr>
          <w:rFonts w:hint="eastAsia" w:ascii="仿宋" w:hAnsi="仿宋" w:eastAsia="仿宋" w:cs="仿宋"/>
          <w:color w:val="auto"/>
          <w:spacing w:val="2"/>
          <w:sz w:val="31"/>
          <w:szCs w:val="31"/>
          <w:lang w:eastAsia="zh-CN"/>
        </w:rPr>
        <w:t>资金</w:t>
      </w:r>
      <w:r>
        <w:rPr>
          <w:rFonts w:ascii="仿宋" w:hAnsi="仿宋" w:eastAsia="仿宋" w:cs="仿宋"/>
          <w:color w:val="auto"/>
          <w:spacing w:val="2"/>
          <w:sz w:val="31"/>
          <w:szCs w:val="31"/>
        </w:rPr>
        <w:t>、上年度绩效考核奖金、调资增资追加预算等经费款项</w:t>
      </w:r>
      <w:r>
        <w:rPr>
          <w:rFonts w:hint="eastAsia" w:ascii="仿宋" w:hAnsi="仿宋" w:eastAsia="仿宋" w:cs="仿宋"/>
          <w:color w:val="auto"/>
          <w:spacing w:val="2"/>
          <w:sz w:val="31"/>
          <w:szCs w:val="31"/>
          <w:lang w:eastAsia="zh-CN"/>
        </w:rPr>
        <w:t>）。</w:t>
      </w:r>
    </w:p>
    <w:p w14:paraId="168A8F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6FE5CA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219.30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219.23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00902F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525F7C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本年支出257.25万元，其中：基本支出193.23万元，占75.12%；项目支出64.02万元，占24.88%；上缴上级支出0.00万元，占0.00%；经营支出0.00万元，占0.00%；对附属单位补助支出0.00万元，占0.00%。</w:t>
      </w:r>
    </w:p>
    <w:p w14:paraId="2E2F4F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15B87B8">
      <w:pPr>
        <w:spacing w:before="248" w:line="372" w:lineRule="auto"/>
        <w:ind w:left="346" w:leftChars="165" w:right="13" w:firstLine="640" w:firstLineChars="200"/>
        <w:jc w:val="both"/>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245.16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25.94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219.23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245.16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245.16</w:t>
      </w:r>
      <w:r>
        <w:rPr>
          <w:rFonts w:hint="eastAsia" w:ascii="仿宋_GB2312" w:eastAsia="仿宋_GB2312"/>
          <w:color w:val="auto"/>
          <w:spacing w:val="0"/>
          <w:sz w:val="32"/>
          <w:szCs w:val="32"/>
          <w:highlight w:val="none"/>
          <w:lang w:eastAsia="zh-CN"/>
        </w:rPr>
        <w:t>万元。</w:t>
      </w:r>
    </w:p>
    <w:p w14:paraId="1C937EE2">
      <w:pPr>
        <w:spacing w:before="248" w:line="372" w:lineRule="auto"/>
        <w:ind w:left="346" w:leftChars="165" w:right="13" w:firstLine="640" w:firstLineChars="200"/>
        <w:jc w:val="both"/>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增加6.87万元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增长2.88%，</w:t>
      </w:r>
      <w:r>
        <w:rPr>
          <w:rFonts w:hint="eastAsia" w:ascii="仿宋_GB2312" w:eastAsia="仿宋_GB2312"/>
          <w:color w:val="auto"/>
          <w:spacing w:val="0"/>
          <w:sz w:val="32"/>
          <w:szCs w:val="32"/>
          <w:highlight w:val="none"/>
          <w:lang w:eastAsia="zh-CN"/>
        </w:rPr>
        <w:t>主要原因是：调资增资追加预算等经费款项（</w:t>
      </w:r>
      <w:r>
        <w:rPr>
          <w:rFonts w:hint="eastAsia" w:ascii="仿宋_GB2312" w:eastAsia="仿宋_GB2312"/>
          <w:color w:val="auto"/>
          <w:spacing w:val="0"/>
          <w:sz w:val="32"/>
          <w:szCs w:val="32"/>
          <w:highlight w:val="none"/>
          <w:lang w:val="en-US" w:eastAsia="zh-CN"/>
        </w:rPr>
        <w:t>本年度职工晋级升职</w:t>
      </w:r>
      <w:r>
        <w:rPr>
          <w:rFonts w:hint="eastAsia" w:ascii="仿宋_GB2312" w:eastAsia="仿宋_GB2312"/>
          <w:color w:val="auto"/>
          <w:spacing w:val="0"/>
          <w:sz w:val="32"/>
          <w:szCs w:val="32"/>
          <w:highlight w:val="none"/>
          <w:lang w:eastAsia="zh-CN"/>
        </w:rPr>
        <w:t>津贴等预算资金、上年度绩效考核奖金、调资增资追加预算等经费款项）。与年初预算相比，年初预算数</w:t>
      </w:r>
      <w:r>
        <w:rPr>
          <w:rFonts w:hint="eastAsia" w:ascii="仿宋_GB2312" w:eastAsia="仿宋_GB2312"/>
          <w:color w:val="auto"/>
          <w:spacing w:val="0"/>
          <w:sz w:val="32"/>
          <w:szCs w:val="32"/>
          <w:highlight w:val="none"/>
          <w:lang w:val="zh-CN" w:eastAsia="zh-CN"/>
        </w:rPr>
        <w:t>193.50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245.16</w:t>
      </w:r>
      <w:r>
        <w:rPr>
          <w:rFonts w:hint="eastAsia" w:ascii="仿宋_GB2312" w:eastAsia="仿宋_GB2312"/>
          <w:color w:val="auto"/>
          <w:spacing w:val="0"/>
          <w:sz w:val="32"/>
          <w:szCs w:val="32"/>
          <w:highlight w:val="none"/>
          <w:lang w:eastAsia="zh-CN"/>
        </w:rPr>
        <w:t>万元，预决算差异率26.70%，主要原因是：</w:t>
      </w:r>
      <w:r>
        <w:rPr>
          <w:rFonts w:hint="eastAsia" w:ascii="仿宋_GB2312" w:eastAsia="仿宋_GB2312"/>
          <w:color w:val="auto"/>
          <w:spacing w:val="0"/>
          <w:sz w:val="32"/>
          <w:szCs w:val="32"/>
          <w:highlight w:val="none"/>
          <w:lang w:val="en-US" w:eastAsia="zh-CN"/>
        </w:rPr>
        <w:t>因为上年度的结余资金以及本年有退休人员1名，追加了职业年金，产生预决算产生</w:t>
      </w:r>
      <w:r>
        <w:rPr>
          <w:rFonts w:hint="eastAsia" w:ascii="仿宋_GB2312" w:eastAsia="仿宋_GB2312"/>
          <w:color w:val="auto"/>
          <w:spacing w:val="0"/>
          <w:sz w:val="32"/>
          <w:szCs w:val="32"/>
          <w:highlight w:val="none"/>
          <w:lang w:eastAsia="zh-CN"/>
        </w:rPr>
        <w:t>。</w:t>
      </w:r>
    </w:p>
    <w:p w14:paraId="40EC67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0E622D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0CAAB960">
      <w:pPr>
        <w:spacing w:before="248" w:line="372" w:lineRule="auto"/>
        <w:ind w:left="346" w:leftChars="165" w:right="13" w:firstLine="640" w:firstLineChars="200"/>
        <w:jc w:val="both"/>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2023年度一般公共预算财政拨款支出245.16万元，占本年支出合计的</w:t>
      </w:r>
      <w:r>
        <w:rPr>
          <w:rFonts w:hint="eastAsia" w:ascii="仿宋_GB2312" w:eastAsia="仿宋_GB2312"/>
          <w:color w:val="auto"/>
          <w:spacing w:val="0"/>
          <w:sz w:val="32"/>
          <w:szCs w:val="32"/>
          <w:highlight w:val="none"/>
          <w:lang w:val="zh-CN" w:eastAsia="zh-CN"/>
        </w:rPr>
        <w:t>95.30%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增加32.80万元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增长15.45%，</w:t>
      </w:r>
      <w:r>
        <w:rPr>
          <w:rFonts w:hint="eastAsia" w:ascii="仿宋_GB2312" w:eastAsia="仿宋_GB2312"/>
          <w:color w:val="auto"/>
          <w:spacing w:val="0"/>
          <w:sz w:val="32"/>
          <w:szCs w:val="32"/>
          <w:highlight w:val="none"/>
          <w:lang w:eastAsia="zh-CN"/>
        </w:rPr>
        <w:t>主要原因是：调资增资追加预算等经费款项（津贴等预算资金、上年度绩效考核奖金、调资增资追加预算等经费款项）</w:t>
      </w:r>
      <w:r>
        <w:rPr>
          <w:rFonts w:hint="eastAsia" w:ascii="仿宋_GB2312" w:eastAsia="仿宋_GB2312"/>
          <w:color w:val="auto"/>
          <w:spacing w:val="0"/>
          <w:sz w:val="32"/>
          <w:szCs w:val="32"/>
          <w:highlight w:val="none"/>
          <w:lang w:val="en-US" w:eastAsia="zh-CN"/>
        </w:rPr>
        <w:t>及办公费用增加。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193.50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245.16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26.70%</w:t>
      </w:r>
      <w:r>
        <w:rPr>
          <w:rFonts w:hint="eastAsia" w:ascii="仿宋_GB2312" w:eastAsia="仿宋_GB2312"/>
          <w:color w:val="auto"/>
          <w:spacing w:val="0"/>
          <w:sz w:val="32"/>
          <w:szCs w:val="32"/>
          <w:highlight w:val="none"/>
          <w:lang w:eastAsia="zh-CN"/>
        </w:rPr>
        <w:t>，主要原因是：调资增资追加经费，</w:t>
      </w:r>
      <w:r>
        <w:rPr>
          <w:rFonts w:hint="eastAsia" w:ascii="仿宋_GB2312" w:eastAsia="仿宋_GB2312"/>
          <w:color w:val="auto"/>
          <w:spacing w:val="0"/>
          <w:sz w:val="32"/>
          <w:szCs w:val="32"/>
          <w:highlight w:val="none"/>
          <w:lang w:val="en-US" w:eastAsia="zh-CN"/>
        </w:rPr>
        <w:t>本年有退休人员1名，追加了职业年金，预决算产生差异</w:t>
      </w:r>
      <w:r>
        <w:rPr>
          <w:rFonts w:hint="eastAsia" w:ascii="仿宋_GB2312" w:eastAsia="仿宋_GB2312"/>
          <w:color w:val="auto"/>
          <w:spacing w:val="0"/>
          <w:sz w:val="32"/>
          <w:szCs w:val="32"/>
          <w:highlight w:val="none"/>
          <w:lang w:eastAsia="zh-CN"/>
        </w:rPr>
        <w:t>。</w:t>
      </w:r>
    </w:p>
    <w:p w14:paraId="4A124186">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66C8AE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29.68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12.11</w:t>
      </w:r>
      <w:r>
        <w:rPr>
          <w:rFonts w:hint="default" w:ascii="仿宋_GB2312" w:hAnsi="Times New Roman" w:eastAsia="仿宋_GB2312" w:cs="Times New Roman"/>
          <w:color w:val="auto"/>
          <w:spacing w:val="0"/>
          <w:kern w:val="2"/>
          <w:sz w:val="32"/>
          <w:szCs w:val="32"/>
          <w:highlight w:val="none"/>
          <w:lang w:val="zh-CN" w:eastAsia="zh-CN" w:bidi="ar-SA"/>
        </w:rPr>
        <w:t>%；</w:t>
      </w:r>
    </w:p>
    <w:p w14:paraId="6A76649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13.62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5.55</w:t>
      </w:r>
      <w:r>
        <w:rPr>
          <w:rFonts w:hint="default" w:ascii="仿宋_GB2312" w:hAnsi="Times New Roman" w:eastAsia="仿宋_GB2312" w:cs="Times New Roman"/>
          <w:color w:val="auto"/>
          <w:spacing w:val="0"/>
          <w:kern w:val="2"/>
          <w:sz w:val="32"/>
          <w:szCs w:val="32"/>
          <w:highlight w:val="none"/>
          <w:lang w:val="zh-CN" w:eastAsia="zh-CN" w:bidi="ar-SA"/>
        </w:rPr>
        <w:t>%；</w:t>
      </w:r>
    </w:p>
    <w:p w14:paraId="525D8F4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191.00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77.91</w:t>
      </w:r>
      <w:r>
        <w:rPr>
          <w:rFonts w:hint="default" w:ascii="仿宋_GB2312" w:hAnsi="Times New Roman" w:eastAsia="仿宋_GB2312" w:cs="Times New Roman"/>
          <w:color w:val="auto"/>
          <w:spacing w:val="0"/>
          <w:kern w:val="2"/>
          <w:sz w:val="32"/>
          <w:szCs w:val="32"/>
          <w:highlight w:val="none"/>
          <w:lang w:val="zh-CN" w:eastAsia="zh-CN" w:bidi="ar-SA"/>
        </w:rPr>
        <w:t>%；</w:t>
      </w:r>
    </w:p>
    <w:p w14:paraId="5DEFF38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10.86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4.43</w:t>
      </w:r>
      <w:r>
        <w:rPr>
          <w:rFonts w:hint="default" w:ascii="仿宋_GB2312" w:hAnsi="Times New Roman" w:eastAsia="仿宋_GB2312" w:cs="Times New Roman"/>
          <w:color w:val="auto"/>
          <w:spacing w:val="0"/>
          <w:kern w:val="2"/>
          <w:sz w:val="32"/>
          <w:szCs w:val="32"/>
          <w:highlight w:val="none"/>
          <w:lang w:val="zh-CN" w:eastAsia="zh-CN" w:bidi="ar-SA"/>
        </w:rPr>
        <w:t>%；</w:t>
      </w:r>
    </w:p>
    <w:p w14:paraId="61BEA9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CE944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1.卫生健康支出（类）行政事业单位医疗（款）行政单位医疗（项）:支出决算数为7.28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12.36%，主要原因是：</w:t>
      </w:r>
      <w:r>
        <w:rPr>
          <w:rFonts w:hint="eastAsia" w:eastAsia="仿宋_GB2312" w:cs="Times New Roman"/>
          <w:color w:val="auto"/>
          <w:kern w:val="2"/>
          <w:sz w:val="32"/>
          <w:szCs w:val="32"/>
          <w:highlight w:val="none"/>
          <w:lang w:val="en-US" w:eastAsia="zh-CN" w:bidi="ar-SA"/>
        </w:rPr>
        <w:t>本年退休处级人员1名，缴费基数高，本年度新招录1名，缴费基数低，故医疗缴费支出减少</w:t>
      </w:r>
      <w:r>
        <w:rPr>
          <w:rFonts w:hint="eastAsia" w:eastAsia="仿宋_GB2312" w:cs="Times New Roman"/>
          <w:color w:val="auto"/>
          <w:kern w:val="2"/>
          <w:sz w:val="32"/>
          <w:szCs w:val="32"/>
          <w:highlight w:val="none"/>
          <w:lang w:val="zh-CN" w:eastAsia="zh-CN" w:bidi="ar-SA"/>
        </w:rPr>
        <w:t>。</w:t>
      </w:r>
    </w:p>
    <w:p w14:paraId="0F434B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2.卫生健康支出（类）行政事业单位医疗（款）公务员医疗补助（项）:支出决算数为6.34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1.91%，主要原因是：</w:t>
      </w:r>
      <w:r>
        <w:rPr>
          <w:rFonts w:hint="eastAsia" w:eastAsia="仿宋_GB2312" w:cs="Times New Roman"/>
          <w:color w:val="auto"/>
          <w:kern w:val="2"/>
          <w:sz w:val="32"/>
          <w:szCs w:val="32"/>
          <w:highlight w:val="none"/>
          <w:lang w:val="en-US" w:eastAsia="zh-CN" w:bidi="ar-SA"/>
        </w:rPr>
        <w:t>本年退休处级人员1名，缴费基数高，本年度新招录1名，缴费基数低，故公务员医疗补助缴费支出减少</w:t>
      </w:r>
      <w:r>
        <w:rPr>
          <w:rFonts w:hint="eastAsia" w:eastAsia="仿宋_GB2312" w:cs="Times New Roman"/>
          <w:color w:val="auto"/>
          <w:kern w:val="2"/>
          <w:sz w:val="32"/>
          <w:szCs w:val="32"/>
          <w:highlight w:val="none"/>
          <w:lang w:val="zh-CN" w:eastAsia="zh-CN" w:bidi="ar-SA"/>
        </w:rPr>
        <w:t>。</w:t>
      </w:r>
    </w:p>
    <w:p w14:paraId="23DA710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3.自然资源海洋气象等支出（类）自然资源事务（款）行政运行（项）:支出决算数为127.06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36.17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22.16%，主要原因是：</w:t>
      </w:r>
      <w:r>
        <w:rPr>
          <w:rFonts w:hint="eastAsia" w:ascii="仿宋_GB2312" w:eastAsia="仿宋_GB2312"/>
          <w:sz w:val="32"/>
          <w:szCs w:val="32"/>
        </w:rPr>
        <w:t>厉行节约，压减经费。</w:t>
      </w:r>
    </w:p>
    <w:p w14:paraId="302661C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4.住房保障支出（类）住房改革支出（款）住房公积金（项）:支出决算数为10.86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5.94%，主要原因是：</w:t>
      </w:r>
      <w:r>
        <w:rPr>
          <w:rFonts w:hint="eastAsia" w:eastAsia="仿宋_GB2312" w:cs="Times New Roman"/>
          <w:color w:val="auto"/>
          <w:kern w:val="2"/>
          <w:sz w:val="32"/>
          <w:szCs w:val="32"/>
          <w:highlight w:val="none"/>
          <w:lang w:val="en-US" w:eastAsia="zh-CN" w:bidi="ar-SA"/>
        </w:rPr>
        <w:t>本年退休处级人员1名，缴费基数高，本年度新招录1名，缴费基数低，故公积金支出减少</w:t>
      </w:r>
      <w:r>
        <w:rPr>
          <w:rFonts w:hint="eastAsia" w:eastAsia="仿宋_GB2312" w:cs="Times New Roman"/>
          <w:color w:val="auto"/>
          <w:kern w:val="2"/>
          <w:sz w:val="32"/>
          <w:szCs w:val="32"/>
          <w:highlight w:val="none"/>
          <w:lang w:val="zh-CN" w:eastAsia="zh-CN" w:bidi="ar-SA"/>
        </w:rPr>
        <w:t>。</w:t>
      </w:r>
    </w:p>
    <w:p w14:paraId="29E55AF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5.社会保障和就业支出（类）行政事业单位养老支出（款）行政单位离退休（项）:支出决算数为8.18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144.51%，主要原因是：</w:t>
      </w:r>
      <w:r>
        <w:rPr>
          <w:rFonts w:hint="eastAsia" w:ascii="仿宋_GB2312" w:eastAsia="仿宋_GB2312"/>
          <w:sz w:val="32"/>
          <w:szCs w:val="32"/>
        </w:rPr>
        <w:t>本年度增加了退休人员绩效奖支出。</w:t>
      </w:r>
    </w:p>
    <w:p w14:paraId="073AC76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6.社会保障和就业支出（类）行政事业单位养老支出（款）机关事业单位职业年金缴费支出（项）:支出决算数为7.01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lang w:val="en-US" w:eastAsia="zh-CN"/>
        </w:rPr>
        <w:t>本年度增加一名退休人员，</w:t>
      </w:r>
      <w:r>
        <w:rPr>
          <w:rFonts w:hint="eastAsia" w:ascii="Times New Roman" w:hAnsi="Times New Roman" w:eastAsia="仿宋_GB2312" w:cs="Times New Roman"/>
          <w:color w:val="auto"/>
          <w:kern w:val="2"/>
          <w:sz w:val="32"/>
          <w:szCs w:val="32"/>
          <w:highlight w:val="none"/>
          <w:lang w:val="en-US" w:eastAsia="zh-CN" w:bidi="ar-SA"/>
        </w:rPr>
        <w:t>职业年金缴费</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14:paraId="5DA1F6C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7.社会保障和就业支出（类）行政事业单位养老支出（款）机关事业单位基本养老保险缴费支出（项）:支出决算数为14.49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5.94%，主要原因是：</w:t>
      </w:r>
      <w:r>
        <w:rPr>
          <w:rFonts w:hint="eastAsia" w:eastAsia="仿宋_GB2312" w:cs="Times New Roman"/>
          <w:color w:val="auto"/>
          <w:kern w:val="2"/>
          <w:sz w:val="32"/>
          <w:szCs w:val="32"/>
          <w:highlight w:val="none"/>
          <w:lang w:val="en-US" w:eastAsia="zh-CN" w:bidi="ar-SA"/>
        </w:rPr>
        <w:t>本年退休处级人员1名，缴费基数高，本年度新招录1名，缴费基数低，故养老保险缴费支出减少</w:t>
      </w:r>
      <w:r>
        <w:rPr>
          <w:rFonts w:hint="eastAsia" w:eastAsia="仿宋_GB2312" w:cs="Times New Roman"/>
          <w:color w:val="auto"/>
          <w:kern w:val="2"/>
          <w:sz w:val="32"/>
          <w:szCs w:val="32"/>
          <w:highlight w:val="none"/>
          <w:lang w:val="zh-CN" w:eastAsia="zh-CN" w:bidi="ar-SA"/>
        </w:rPr>
        <w:t>。</w:t>
      </w:r>
    </w:p>
    <w:p w14:paraId="3622CDF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8.自然资源海洋气象等支出（类）自然资源事务（款）其他自然资源事务支出（项）:支出决算数为63.94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59.87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1473.51%，主要原因是：</w:t>
      </w:r>
      <w:r>
        <w:rPr>
          <w:rFonts w:hint="eastAsia" w:eastAsia="仿宋_GB2312" w:cs="Times New Roman"/>
          <w:color w:val="auto"/>
          <w:kern w:val="2"/>
          <w:sz w:val="32"/>
          <w:szCs w:val="32"/>
          <w:highlight w:val="none"/>
          <w:lang w:val="en-US" w:eastAsia="zh-CN" w:bidi="ar-SA"/>
        </w:rPr>
        <w:t>一是</w:t>
      </w:r>
      <w:r>
        <w:rPr>
          <w:rFonts w:hint="eastAsia" w:ascii="仿宋_GB2312" w:eastAsia="仿宋_GB2312"/>
          <w:sz w:val="32"/>
          <w:szCs w:val="32"/>
        </w:rPr>
        <w:t>因为各项专项工作的开展和工作规范的要求，办公室所需的耗材数量显著增加</w:t>
      </w:r>
      <w:r>
        <w:rPr>
          <w:rFonts w:hint="eastAsia" w:eastAsia="仿宋_GB2312" w:cs="Times New Roman"/>
          <w:color w:val="auto"/>
          <w:kern w:val="2"/>
          <w:sz w:val="32"/>
          <w:szCs w:val="32"/>
          <w:highlight w:val="none"/>
          <w:lang w:val="en-US" w:eastAsia="zh-CN" w:bidi="ar-SA"/>
        </w:rPr>
        <w:t>；二是增加巡查力度，车辆维修及加油费用增加</w:t>
      </w:r>
      <w:r>
        <w:rPr>
          <w:rFonts w:hint="eastAsia" w:eastAsia="仿宋_GB2312" w:cs="Times New Roman"/>
          <w:color w:val="auto"/>
          <w:kern w:val="2"/>
          <w:sz w:val="32"/>
          <w:szCs w:val="32"/>
          <w:highlight w:val="none"/>
          <w:lang w:val="zh-CN" w:eastAsia="zh-CN" w:bidi="ar-SA"/>
        </w:rPr>
        <w:t>。</w:t>
      </w:r>
    </w:p>
    <w:p w14:paraId="6620A9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4CA67C1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181.23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165.22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医疗费补助、其他对个人和家庭的补助。</w:t>
      </w:r>
    </w:p>
    <w:p w14:paraId="7D8A426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16.00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办公费、邮电费、取暖费、差旅费、工会经费、福利费、其他交通费用、其他商品和服务支出。</w:t>
      </w:r>
    </w:p>
    <w:p w14:paraId="594193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F03212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32C11A8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1E4679B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5C9D097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我单位固定资产车辆为</w:t>
      </w:r>
      <w:r>
        <w:rPr>
          <w:rFonts w:hint="eastAsia" w:ascii="Times New Roman" w:hAnsi="Times New Roman" w:eastAsia="仿宋_GB2312" w:cs="Times New Roman"/>
          <w:color w:val="auto"/>
          <w:sz w:val="32"/>
          <w:szCs w:val="32"/>
          <w:highlight w:val="none"/>
          <w:lang w:val="zh-CN" w:eastAsia="zh-CN"/>
        </w:rPr>
        <w:t>执法执勤用车</w:t>
      </w:r>
      <w:r>
        <w:rPr>
          <w:rFonts w:hint="eastAsia" w:eastAsia="仿宋_GB2312" w:cs="Times New Roman"/>
          <w:color w:val="auto"/>
          <w:sz w:val="32"/>
          <w:szCs w:val="32"/>
          <w:highlight w:val="none"/>
          <w:lang w:val="zh-CN" w:eastAsia="zh-CN"/>
        </w:rPr>
        <w:t>、其他用车，均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14:paraId="30802EC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32C04DCD">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14:paraId="55EB98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0860200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62425B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17BFC89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515CDA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4D9954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362FEAA4">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石河子市国土资源执法监察支队（行政单位和参照公务员法管理事业单位）机关运行经费支出16.00万元，比上年减少7.45万元，下降31.76%，主要原因是：</w:t>
      </w:r>
      <w:r>
        <w:rPr>
          <w:rFonts w:hint="eastAsia" w:eastAsia="仿宋_GB2312" w:cs="Times New Roman"/>
          <w:color w:val="auto"/>
          <w:sz w:val="32"/>
          <w:szCs w:val="32"/>
          <w:highlight w:val="none"/>
          <w:lang w:val="en-US" w:eastAsia="zh-CN"/>
        </w:rPr>
        <w:t>厉行节约，压减经费</w:t>
      </w:r>
      <w:r>
        <w:rPr>
          <w:rFonts w:hint="eastAsia" w:ascii="Times New Roman" w:hAnsi="Times New Roman" w:eastAsia="仿宋_GB2312" w:cs="Times New Roman"/>
          <w:color w:val="auto"/>
          <w:sz w:val="32"/>
          <w:szCs w:val="32"/>
          <w:highlight w:val="none"/>
          <w:lang w:val="en-US" w:eastAsia="zh-CN"/>
        </w:rPr>
        <w:t>。</w:t>
      </w:r>
    </w:p>
    <w:p w14:paraId="7631DF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4DB137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79105B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2BEF6D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5645D5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338.29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屋284.84平方米，价值197.22万元。车辆3辆，价值77.93万元，其中：副部（省）级及以上领导用车0辆、主要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用车0辆、机要通信用车0辆、应急保障用车0辆、执法执勤用车2辆、特种专业技术用车0辆、离退休干部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其他业务用车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25DE77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1BA1ACF3">
      <w:pPr>
        <w:ind w:firstLine="640" w:firstLineChars="200"/>
        <w:rPr>
          <w:rFonts w:hint="eastAsia"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rPr>
        <w:t>。</w:t>
      </w:r>
    </w:p>
    <w:p w14:paraId="4C60C918">
      <w:pPr>
        <w:ind w:firstLine="640" w:firstLineChars="200"/>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0C09082B">
      <w:pPr>
        <w:widowControl/>
        <w:ind w:firstLine="640" w:firstLineChars="200"/>
        <w:jc w:val="left"/>
        <w:rPr>
          <w:rFonts w:ascii="黑体" w:hAnsi="黑体" w:eastAsia="黑体"/>
          <w:sz w:val="32"/>
          <w:szCs w:val="32"/>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授予中小企业合同金额、授予小微企业合同金额为0.00万元，主要原因是：我单位为自治区垂直管理单位，不在自治区集中采购范围内，所以无政府采购相关情况。</w:t>
      </w:r>
    </w:p>
    <w:p w14:paraId="0560C1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p>
    <w:p w14:paraId="12AD4D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D290C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39B2AC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EEE34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6675B2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8CE68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FD49E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706C9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E4743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6D0A9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AD83D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15C32F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5EB628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5810C5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6AFA51A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6DCF1AC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6E587B3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E1299A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2D37540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5AD432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7CA3E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EA33B2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1A8122D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BAD811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3F4F18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4A4A9109">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0D9470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E4F21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318F11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696D44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750638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6C9A6D0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623007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7E7E3A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24380C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6E6E2A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41BA83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4FABAB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C82B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043428">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A043428">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4F7B95"/>
    <w:rsid w:val="019404F8"/>
    <w:rsid w:val="02077D23"/>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5F6EB2"/>
    <w:rsid w:val="07804730"/>
    <w:rsid w:val="079052BE"/>
    <w:rsid w:val="08145C21"/>
    <w:rsid w:val="08422688"/>
    <w:rsid w:val="085854ED"/>
    <w:rsid w:val="0879188F"/>
    <w:rsid w:val="08A0354D"/>
    <w:rsid w:val="08CD4C49"/>
    <w:rsid w:val="09114954"/>
    <w:rsid w:val="094F68C7"/>
    <w:rsid w:val="095A5B83"/>
    <w:rsid w:val="096466E3"/>
    <w:rsid w:val="0968304D"/>
    <w:rsid w:val="09AF3D17"/>
    <w:rsid w:val="0A7809B7"/>
    <w:rsid w:val="0A7B4867"/>
    <w:rsid w:val="0A840954"/>
    <w:rsid w:val="0A9928ED"/>
    <w:rsid w:val="0AC51722"/>
    <w:rsid w:val="0B61769D"/>
    <w:rsid w:val="0B8C3ECC"/>
    <w:rsid w:val="0B9C639D"/>
    <w:rsid w:val="0BB052B2"/>
    <w:rsid w:val="0BD33FFC"/>
    <w:rsid w:val="0BE97AC1"/>
    <w:rsid w:val="0C1C4780"/>
    <w:rsid w:val="0C3613A3"/>
    <w:rsid w:val="0C5E519C"/>
    <w:rsid w:val="0C7227A7"/>
    <w:rsid w:val="0C786903"/>
    <w:rsid w:val="0CA52EE8"/>
    <w:rsid w:val="0CBD6988"/>
    <w:rsid w:val="0CD208AC"/>
    <w:rsid w:val="0D4903E8"/>
    <w:rsid w:val="0D7A4A46"/>
    <w:rsid w:val="0E640559"/>
    <w:rsid w:val="0F1113DA"/>
    <w:rsid w:val="0F78534A"/>
    <w:rsid w:val="0F89358A"/>
    <w:rsid w:val="0F8C6D51"/>
    <w:rsid w:val="105B0B5E"/>
    <w:rsid w:val="108C1CE9"/>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4218"/>
    <w:rsid w:val="16D50C50"/>
    <w:rsid w:val="16DB570F"/>
    <w:rsid w:val="16E120E1"/>
    <w:rsid w:val="17385A05"/>
    <w:rsid w:val="173B3901"/>
    <w:rsid w:val="176747F9"/>
    <w:rsid w:val="17954A6E"/>
    <w:rsid w:val="180059E9"/>
    <w:rsid w:val="184510FD"/>
    <w:rsid w:val="190648B0"/>
    <w:rsid w:val="19071D6C"/>
    <w:rsid w:val="19C9538A"/>
    <w:rsid w:val="19D26CD4"/>
    <w:rsid w:val="19E60D19"/>
    <w:rsid w:val="1A3E3450"/>
    <w:rsid w:val="1A613215"/>
    <w:rsid w:val="1AD807E5"/>
    <w:rsid w:val="1B39345B"/>
    <w:rsid w:val="1BFB2A1F"/>
    <w:rsid w:val="1C015D4A"/>
    <w:rsid w:val="1C290ED5"/>
    <w:rsid w:val="1C317E4F"/>
    <w:rsid w:val="1C472464"/>
    <w:rsid w:val="1D22799A"/>
    <w:rsid w:val="1D5C1A72"/>
    <w:rsid w:val="1DAF458D"/>
    <w:rsid w:val="1E086ACE"/>
    <w:rsid w:val="1E62130A"/>
    <w:rsid w:val="1E97358B"/>
    <w:rsid w:val="1EAA4A5F"/>
    <w:rsid w:val="1ED14534"/>
    <w:rsid w:val="1EE869A7"/>
    <w:rsid w:val="1FA15E62"/>
    <w:rsid w:val="1FED69B6"/>
    <w:rsid w:val="2064678E"/>
    <w:rsid w:val="20DC1AB9"/>
    <w:rsid w:val="20DD6197"/>
    <w:rsid w:val="212631E0"/>
    <w:rsid w:val="21A53757"/>
    <w:rsid w:val="221236C6"/>
    <w:rsid w:val="22D7662C"/>
    <w:rsid w:val="23326B7F"/>
    <w:rsid w:val="2380045B"/>
    <w:rsid w:val="23BC04D2"/>
    <w:rsid w:val="23D5257E"/>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12185F"/>
    <w:rsid w:val="2E3D144C"/>
    <w:rsid w:val="2E891204"/>
    <w:rsid w:val="2F3F0A28"/>
    <w:rsid w:val="2FBF7029"/>
    <w:rsid w:val="2FD0187F"/>
    <w:rsid w:val="2FD27414"/>
    <w:rsid w:val="2FFE4BB0"/>
    <w:rsid w:val="300E7B60"/>
    <w:rsid w:val="300F6E18"/>
    <w:rsid w:val="3034062C"/>
    <w:rsid w:val="30862F5F"/>
    <w:rsid w:val="30E6401D"/>
    <w:rsid w:val="311B6872"/>
    <w:rsid w:val="314029C9"/>
    <w:rsid w:val="31C63837"/>
    <w:rsid w:val="31C82E39"/>
    <w:rsid w:val="32601BAD"/>
    <w:rsid w:val="329F6389"/>
    <w:rsid w:val="3389023A"/>
    <w:rsid w:val="33CB74FA"/>
    <w:rsid w:val="343642F2"/>
    <w:rsid w:val="343F3010"/>
    <w:rsid w:val="345D0A00"/>
    <w:rsid w:val="34713BFD"/>
    <w:rsid w:val="34773EE4"/>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9DA1303"/>
    <w:rsid w:val="3A893816"/>
    <w:rsid w:val="3A893B6D"/>
    <w:rsid w:val="3AD1763A"/>
    <w:rsid w:val="3B6716E3"/>
    <w:rsid w:val="3B6C6B2D"/>
    <w:rsid w:val="3C242659"/>
    <w:rsid w:val="3C96719C"/>
    <w:rsid w:val="3CA72BE8"/>
    <w:rsid w:val="3CF37F8C"/>
    <w:rsid w:val="3D137554"/>
    <w:rsid w:val="3D4A215D"/>
    <w:rsid w:val="3D5275AC"/>
    <w:rsid w:val="3DCC2473"/>
    <w:rsid w:val="3DEB0883"/>
    <w:rsid w:val="3E2527BF"/>
    <w:rsid w:val="3E731662"/>
    <w:rsid w:val="3E8168DD"/>
    <w:rsid w:val="3E852733"/>
    <w:rsid w:val="3EA7725F"/>
    <w:rsid w:val="3EB03713"/>
    <w:rsid w:val="3EBF1A11"/>
    <w:rsid w:val="3EC52607"/>
    <w:rsid w:val="3EEC6CEF"/>
    <w:rsid w:val="3F183429"/>
    <w:rsid w:val="3F5C3A2A"/>
    <w:rsid w:val="3FB77A1D"/>
    <w:rsid w:val="3FDC3674"/>
    <w:rsid w:val="3FED7F8A"/>
    <w:rsid w:val="40094AEF"/>
    <w:rsid w:val="405470BD"/>
    <w:rsid w:val="40794A29"/>
    <w:rsid w:val="40834692"/>
    <w:rsid w:val="411C0F34"/>
    <w:rsid w:val="41431AD5"/>
    <w:rsid w:val="414B3C0F"/>
    <w:rsid w:val="417C1CE7"/>
    <w:rsid w:val="41900018"/>
    <w:rsid w:val="41944406"/>
    <w:rsid w:val="41CE128F"/>
    <w:rsid w:val="41DA6F12"/>
    <w:rsid w:val="42171FB1"/>
    <w:rsid w:val="431C1B20"/>
    <w:rsid w:val="434E6957"/>
    <w:rsid w:val="43BA0E31"/>
    <w:rsid w:val="43C15147"/>
    <w:rsid w:val="43E14DD2"/>
    <w:rsid w:val="43F800E9"/>
    <w:rsid w:val="441C50CC"/>
    <w:rsid w:val="443A7E4B"/>
    <w:rsid w:val="452F5B3A"/>
    <w:rsid w:val="454E7FD2"/>
    <w:rsid w:val="45CA596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9F6B33"/>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3273C"/>
    <w:rsid w:val="525C687F"/>
    <w:rsid w:val="52F647F7"/>
    <w:rsid w:val="52F92565"/>
    <w:rsid w:val="53D03877"/>
    <w:rsid w:val="542F73CA"/>
    <w:rsid w:val="5430786D"/>
    <w:rsid w:val="54795557"/>
    <w:rsid w:val="54C811C0"/>
    <w:rsid w:val="556A442D"/>
    <w:rsid w:val="55DA564E"/>
    <w:rsid w:val="5604127D"/>
    <w:rsid w:val="56166703"/>
    <w:rsid w:val="56510474"/>
    <w:rsid w:val="56861525"/>
    <w:rsid w:val="56A93273"/>
    <w:rsid w:val="56BD550C"/>
    <w:rsid w:val="56D3171E"/>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515CCD"/>
    <w:rsid w:val="5E7E6D93"/>
    <w:rsid w:val="5ED44800"/>
    <w:rsid w:val="5F350BDE"/>
    <w:rsid w:val="5F61632C"/>
    <w:rsid w:val="5F8108E9"/>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BB130F"/>
    <w:rsid w:val="68DB0208"/>
    <w:rsid w:val="68FB170C"/>
    <w:rsid w:val="691B3D98"/>
    <w:rsid w:val="692F585A"/>
    <w:rsid w:val="693748F0"/>
    <w:rsid w:val="69846A0E"/>
    <w:rsid w:val="69AD798C"/>
    <w:rsid w:val="69D005C0"/>
    <w:rsid w:val="69D80B96"/>
    <w:rsid w:val="6A941E18"/>
    <w:rsid w:val="6B6759CE"/>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9867F8"/>
    <w:rsid w:val="70AA6621"/>
    <w:rsid w:val="7111480F"/>
    <w:rsid w:val="71261F49"/>
    <w:rsid w:val="712E6956"/>
    <w:rsid w:val="71473612"/>
    <w:rsid w:val="71504F32"/>
    <w:rsid w:val="7152309F"/>
    <w:rsid w:val="718F7F65"/>
    <w:rsid w:val="720D672D"/>
    <w:rsid w:val="727B234E"/>
    <w:rsid w:val="72D068C7"/>
    <w:rsid w:val="72E42ED8"/>
    <w:rsid w:val="733E027B"/>
    <w:rsid w:val="735F4CB9"/>
    <w:rsid w:val="73674C62"/>
    <w:rsid w:val="73845865"/>
    <w:rsid w:val="739B6D9E"/>
    <w:rsid w:val="73BC1D76"/>
    <w:rsid w:val="73FB6630"/>
    <w:rsid w:val="748D790E"/>
    <w:rsid w:val="749820CC"/>
    <w:rsid w:val="74CE04EC"/>
    <w:rsid w:val="74E76DCD"/>
    <w:rsid w:val="74EE7C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CF6CE0"/>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560" w:lineRule="exact"/>
      <w:ind w:firstLine="200" w:firstLineChars="200"/>
      <w:jc w:val="left"/>
      <w:outlineLvl w:val="1"/>
    </w:pPr>
    <w:rPr>
      <w:rFonts w:ascii="楷体" w:hAnsi="楷体" w:eastAsia="楷体" w:cs="Times New Roman"/>
      <w:bCs/>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5535</Words>
  <Characters>6141</Characters>
  <Lines>0</Lines>
  <Paragraphs>0</Paragraphs>
  <TotalTime>0</TotalTime>
  <ScaleCrop>false</ScaleCrop>
  <LinksUpToDate>false</LinksUpToDate>
  <CharactersWithSpaces>6152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2024-09-02T03:59:12Z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