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D9B0">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FF1A5F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F7F213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呼图壁县国土资源执法监察大队</w:t>
      </w:r>
    </w:p>
    <w:p w14:paraId="043D383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60C269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6D4F3B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A46C00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752A33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A2201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875FB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1C67C4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35DC4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2579E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F07BD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D99AD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6C8E1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F1FAD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11960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C604C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F41B577">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77570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1CE3B8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CD77C9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F379F7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60696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0647F9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A3DF3A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335019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A66F1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624CB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03EB4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BBA9D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7AE18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E2D3D2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D419BF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055DF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F9667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00DC2EB">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7F1A93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BFC7C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E8CDA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6F3878A">
      <w:pPr>
        <w:ind w:firstLine="640" w:firstLineChars="200"/>
        <w:rPr>
          <w:rFonts w:hint="eastAsia" w:ascii="仿宋_GB2312" w:eastAsia="仿宋_GB2312"/>
          <w:color w:val="auto"/>
          <w:sz w:val="32"/>
          <w:szCs w:val="32"/>
          <w:highlight w:val="none"/>
        </w:rPr>
      </w:pPr>
      <w:r>
        <w:rPr>
          <w:rFonts w:ascii="仿宋_GB2312" w:eastAsia="仿宋_GB2312"/>
          <w:sz w:val="32"/>
          <w:szCs w:val="32"/>
        </w:rPr>
        <w:t>呼图壁县国土资源执法监察大队，为自治区自然资源厅下属四级预算单位，参照公务员法管理的事业单位。实行垂直管理，统一履行呼图壁县区域内国土资源执法监察职能。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3、依法组织和实施呼图壁县重大土地、矿产资源违法案件的调查、取证、现场勘验工作，并进行查处。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4、负责呼图壁县重大土地、矿产资源违法案件查处决定的督办。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color w:val="auto"/>
          <w:sz w:val="32"/>
          <w:szCs w:val="32"/>
          <w:highlight w:val="none"/>
        </w:rPr>
        <w:t>。</w:t>
      </w:r>
    </w:p>
    <w:p w14:paraId="7BF8C3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87116A8">
      <w:pPr>
        <w:ind w:firstLine="640" w:firstLineChars="200"/>
        <w:jc w:val="left"/>
        <w:rPr>
          <w:rFonts w:ascii="仿宋_GB2312" w:hAnsi="仿宋_GB2312" w:eastAsia="仿宋_GB2312" w:cs="仿宋_GB2312"/>
          <w:b/>
          <w:sz w:val="32"/>
          <w:szCs w:val="32"/>
        </w:rPr>
      </w:pPr>
      <w:bookmarkStart w:id="6" w:name="_Toc3092"/>
      <w:bookmarkStart w:id="7" w:name="_Toc29374"/>
      <w:r>
        <w:rPr>
          <w:rFonts w:hint="eastAsia" w:ascii="仿宋_GB2312" w:eastAsia="仿宋_GB2312"/>
          <w:sz w:val="32"/>
          <w:szCs w:val="32"/>
          <w:lang w:eastAsia="zh-CN"/>
        </w:rPr>
        <w:t>呼图壁县</w:t>
      </w:r>
      <w:r>
        <w:rPr>
          <w:rFonts w:hint="eastAsia" w:ascii="仿宋_GB2312" w:eastAsia="仿宋_GB2312"/>
          <w:sz w:val="32"/>
          <w:szCs w:val="32"/>
        </w:rPr>
        <w:t>国土资源执法监察大队2023年度，实有人数</w:t>
      </w:r>
      <w:r>
        <w:rPr>
          <w:rFonts w:hint="eastAsia" w:ascii="仿宋_GB2312" w:eastAsia="仿宋_GB2312"/>
          <w:sz w:val="32"/>
          <w:szCs w:val="32"/>
          <w:lang w:val="en-US" w:eastAsia="zh-CN"/>
        </w:rPr>
        <w:t>8</w:t>
      </w:r>
      <w:r>
        <w:rPr>
          <w:rFonts w:hint="eastAsia" w:ascii="仿宋_GB2312" w:eastAsia="仿宋_GB2312"/>
          <w:sz w:val="32"/>
          <w:szCs w:val="32"/>
        </w:rPr>
        <w:t>人，其中：在职人员</w:t>
      </w:r>
      <w:r>
        <w:rPr>
          <w:rFonts w:hint="eastAsia" w:ascii="仿宋_GB2312" w:eastAsia="仿宋_GB2312"/>
          <w:sz w:val="32"/>
          <w:szCs w:val="32"/>
          <w:lang w:val="en-US" w:eastAsia="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en-US" w:eastAsia="zh-CN"/>
        </w:rPr>
        <w:t>3</w:t>
      </w:r>
      <w:r>
        <w:rPr>
          <w:rFonts w:hint="eastAsia" w:ascii="仿宋_GB2312" w:eastAsia="仿宋_GB2312"/>
          <w:sz w:val="32"/>
          <w:szCs w:val="32"/>
        </w:rPr>
        <w:t>人。</w:t>
      </w:r>
    </w:p>
    <w:p w14:paraId="26C5A8D3">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室，分别是：综合办公</w:t>
      </w:r>
      <w:r>
        <w:rPr>
          <w:rFonts w:hint="eastAsia" w:ascii="仿宋_GB2312" w:hAnsi="宋体" w:eastAsia="仿宋_GB2312" w:cs="宋体"/>
          <w:kern w:val="0"/>
          <w:sz w:val="32"/>
          <w:szCs w:val="32"/>
        </w:rPr>
        <w:t>。</w:t>
      </w:r>
    </w:p>
    <w:p w14:paraId="66885DF0">
      <w:pPr>
        <w:ind w:firstLine="640" w:firstLineChars="200"/>
        <w:rPr>
          <w:rFonts w:hint="eastAsia" w:ascii="仿宋_GB2312" w:hAnsi="宋体" w:eastAsia="仿宋_GB2312" w:cs="宋体"/>
          <w:kern w:val="0"/>
          <w:sz w:val="32"/>
          <w:szCs w:val="32"/>
        </w:rPr>
      </w:pPr>
    </w:p>
    <w:p w14:paraId="2855F335">
      <w:pPr>
        <w:ind w:firstLine="640" w:firstLineChars="200"/>
        <w:rPr>
          <w:rFonts w:hint="eastAsia" w:ascii="仿宋_GB2312" w:hAnsi="宋体" w:eastAsia="仿宋_GB2312" w:cs="宋体"/>
          <w:kern w:val="0"/>
          <w:sz w:val="32"/>
          <w:szCs w:val="32"/>
        </w:rPr>
      </w:pPr>
    </w:p>
    <w:p w14:paraId="0E1E13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23E07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F43A1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140.86万元，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132.68万元，使用非财政拨款结余0.00万元，年初结转和结余8.19万元。</w:t>
      </w:r>
    </w:p>
    <w:p w14:paraId="7852DF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140.86万元，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133.01万元，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0.00万元，年末结转和结余7.86万元。</w:t>
      </w:r>
    </w:p>
    <w:p w14:paraId="08EFBB4A">
      <w:pPr>
        <w:ind w:firstLine="640" w:firstLineChars="200"/>
        <w:jc w:val="left"/>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增加11.31万元</w:t>
      </w:r>
      <w:r>
        <w:rPr>
          <w:rFonts w:hint="eastAsia" w:ascii="仿宋_GB2312" w:eastAsia="仿宋_GB2312"/>
          <w:color w:val="auto"/>
          <w:spacing w:val="0"/>
          <w:sz w:val="32"/>
          <w:szCs w:val="32"/>
          <w:highlight w:val="none"/>
          <w:lang w:eastAsia="zh-CN"/>
        </w:rPr>
        <w:t>，增长8.73%，主要原因是：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p>
    <w:p w14:paraId="3FE999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F5AC7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132.68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132.65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D3DD2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193D22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本年支出133.01万元，其中：基本支出97.65万元，占73.42%；项目支出35.36万元，占26.58%；上缴上级支出0.00万元，占0.00%；经营支出0.00万元，占0.00%；对附属单位补助支出0.00万元，占0.00%。</w:t>
      </w:r>
    </w:p>
    <w:p w14:paraId="79E202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4B45C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136.66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4.01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132.65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136.66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133.01</w:t>
      </w:r>
      <w:r>
        <w:rPr>
          <w:rFonts w:hint="eastAsia" w:ascii="仿宋_GB2312" w:eastAsia="仿宋_GB2312"/>
          <w:color w:val="auto"/>
          <w:spacing w:val="0"/>
          <w:sz w:val="32"/>
          <w:szCs w:val="32"/>
          <w:highlight w:val="none"/>
          <w:lang w:eastAsia="zh-CN"/>
        </w:rPr>
        <w:t>万元。</w:t>
      </w:r>
    </w:p>
    <w:p w14:paraId="591BAF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增长9.00%,</w:t>
      </w:r>
      <w:r>
        <w:rPr>
          <w:rFonts w:hint="eastAsia" w:ascii="仿宋_GB2312" w:eastAsia="仿宋_GB2312"/>
          <w:color w:val="auto"/>
          <w:spacing w:val="0"/>
          <w:sz w:val="32"/>
          <w:szCs w:val="32"/>
          <w:highlight w:val="none"/>
          <w:lang w:eastAsia="zh-CN"/>
        </w:rPr>
        <w:t>主要原因是：本年度新增基础绩效等工资经费。与年初预算相比，年初预算数</w:t>
      </w:r>
      <w:r>
        <w:rPr>
          <w:rFonts w:hint="eastAsia" w:ascii="仿宋_GB2312" w:eastAsia="仿宋_GB2312"/>
          <w:color w:val="auto"/>
          <w:spacing w:val="0"/>
          <w:sz w:val="32"/>
          <w:szCs w:val="32"/>
          <w:highlight w:val="none"/>
          <w:lang w:val="zh-CN" w:eastAsia="zh-CN"/>
        </w:rPr>
        <w:t>127.72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136.66</w:t>
      </w:r>
      <w:r>
        <w:rPr>
          <w:rFonts w:hint="eastAsia" w:ascii="仿宋_GB2312" w:eastAsia="仿宋_GB2312"/>
          <w:color w:val="auto"/>
          <w:spacing w:val="0"/>
          <w:sz w:val="32"/>
          <w:szCs w:val="32"/>
          <w:highlight w:val="none"/>
          <w:lang w:eastAsia="zh-CN"/>
        </w:rPr>
        <w:t>万元，预决算差异率7.00%，主要原因是：</w:t>
      </w:r>
      <w:r>
        <w:rPr>
          <w:rFonts w:hint="eastAsia" w:ascii="仿宋_GB2312" w:eastAsia="仿宋_GB2312"/>
          <w:sz w:val="32"/>
          <w:szCs w:val="32"/>
        </w:rPr>
        <w:t>本年度</w:t>
      </w:r>
      <w:r>
        <w:rPr>
          <w:rFonts w:hint="eastAsia" w:ascii="仿宋_GB2312" w:eastAsia="仿宋_GB2312"/>
          <w:sz w:val="32"/>
          <w:szCs w:val="32"/>
          <w:lang w:val="en-US" w:eastAsia="zh-CN"/>
        </w:rPr>
        <w:t>追加</w:t>
      </w:r>
      <w:r>
        <w:rPr>
          <w:rFonts w:hint="eastAsia" w:ascii="仿宋_GB2312" w:eastAsia="仿宋_GB2312"/>
          <w:sz w:val="32"/>
          <w:szCs w:val="32"/>
        </w:rPr>
        <w:t>基础绩效</w:t>
      </w:r>
      <w:r>
        <w:rPr>
          <w:rFonts w:hint="eastAsia" w:ascii="仿宋_GB2312" w:eastAsia="仿宋_GB2312"/>
          <w:sz w:val="32"/>
          <w:szCs w:val="32"/>
          <w:lang w:val="en-US" w:eastAsia="zh-CN"/>
        </w:rPr>
        <w:t>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sz w:val="32"/>
          <w:szCs w:val="32"/>
        </w:rPr>
        <w:t>。</w:t>
      </w:r>
    </w:p>
    <w:p w14:paraId="0959DC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75C57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51F7D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2023年度一般公共预算财政拨款支出133.01万元，占本年支出合计的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增长9.59%,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127.72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133.01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4.14%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w:t>
      </w:r>
      <w:r>
        <w:rPr>
          <w:rFonts w:hint="eastAsia" w:ascii="仿宋_GB2312" w:eastAsia="仿宋_GB2312"/>
          <w:sz w:val="32"/>
          <w:szCs w:val="32"/>
          <w:lang w:val="en-US" w:eastAsia="zh-CN"/>
        </w:rPr>
        <w:t>追加</w:t>
      </w:r>
      <w:r>
        <w:rPr>
          <w:rFonts w:hint="eastAsia" w:ascii="仿宋_GB2312" w:eastAsia="仿宋_GB2312"/>
          <w:sz w:val="32"/>
          <w:szCs w:val="32"/>
        </w:rPr>
        <w:t>基础绩效</w:t>
      </w:r>
      <w:r>
        <w:rPr>
          <w:rFonts w:hint="eastAsia" w:ascii="仿宋_GB2312" w:eastAsia="仿宋_GB2312"/>
          <w:sz w:val="32"/>
          <w:szCs w:val="32"/>
          <w:lang w:val="en-US" w:eastAsia="zh-CN"/>
        </w:rPr>
        <w:t>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color w:val="auto"/>
          <w:spacing w:val="0"/>
          <w:sz w:val="32"/>
          <w:szCs w:val="32"/>
          <w:highlight w:val="none"/>
          <w:lang w:eastAsia="zh-CN"/>
        </w:rPr>
        <w:t>。</w:t>
      </w:r>
    </w:p>
    <w:p w14:paraId="1275A54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2CBBF0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10.72</w:t>
      </w:r>
      <w:r>
        <w:rPr>
          <w:rFonts w:hint="default" w:ascii="仿宋_GB2312" w:hAnsi="Times New Roman" w:eastAsia="仿宋_GB2312" w:cs="Times New Roman"/>
          <w:color w:val="auto"/>
          <w:spacing w:val="0"/>
          <w:kern w:val="2"/>
          <w:sz w:val="32"/>
          <w:szCs w:val="32"/>
          <w:highlight w:val="none"/>
          <w:lang w:val="zh-CN" w:eastAsia="zh-CN" w:bidi="ar-SA"/>
        </w:rPr>
        <w:t>%；</w:t>
      </w:r>
    </w:p>
    <w:p w14:paraId="6E99BFA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5.90</w:t>
      </w:r>
      <w:r>
        <w:rPr>
          <w:rFonts w:hint="default" w:ascii="仿宋_GB2312" w:hAnsi="Times New Roman" w:eastAsia="仿宋_GB2312" w:cs="Times New Roman"/>
          <w:color w:val="auto"/>
          <w:spacing w:val="0"/>
          <w:kern w:val="2"/>
          <w:sz w:val="32"/>
          <w:szCs w:val="32"/>
          <w:highlight w:val="none"/>
          <w:lang w:val="zh-CN" w:eastAsia="zh-CN" w:bidi="ar-SA"/>
        </w:rPr>
        <w:t>%；</w:t>
      </w:r>
    </w:p>
    <w:p w14:paraId="2CE5F64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104.65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78.68</w:t>
      </w:r>
      <w:r>
        <w:rPr>
          <w:rFonts w:hint="default" w:ascii="仿宋_GB2312" w:hAnsi="Times New Roman" w:eastAsia="仿宋_GB2312" w:cs="Times New Roman"/>
          <w:color w:val="auto"/>
          <w:spacing w:val="0"/>
          <w:kern w:val="2"/>
          <w:sz w:val="32"/>
          <w:szCs w:val="32"/>
          <w:highlight w:val="none"/>
          <w:lang w:val="zh-CN" w:eastAsia="zh-CN" w:bidi="ar-SA"/>
        </w:rPr>
        <w:t>%；</w:t>
      </w:r>
    </w:p>
    <w:p w14:paraId="7B21FBB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6A9A03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964A751">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71.23%，主要原因是：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238771CE">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91.56%，主要原因是：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72399F85">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3.自然资源海洋气象等支出（类）自然资源事务（款）其他自然资源事务支出（项）:支出决算数为35.36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24.95%，主要原因是：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lang w:val="en-US" w:eastAsia="zh-CN"/>
        </w:rPr>
        <w:t>厉行节约，执法办案支出</w:t>
      </w:r>
      <w:r>
        <w:rPr>
          <w:rFonts w:hint="eastAsia" w:ascii="仿宋_GB2312" w:eastAsia="仿宋_GB2312"/>
          <w:sz w:val="32"/>
          <w:szCs w:val="32"/>
        </w:rPr>
        <w:t>较上年减少</w:t>
      </w:r>
      <w:r>
        <w:rPr>
          <w:rFonts w:hint="eastAsia" w:eastAsia="仿宋_GB2312"/>
          <w:sz w:val="32"/>
          <w:szCs w:val="32"/>
          <w:lang w:val="zh-CN"/>
        </w:rPr>
        <w:t>。</w:t>
      </w:r>
    </w:p>
    <w:p w14:paraId="42D5A602">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4.自然资源海洋气象等支出（类）自然资源事务（款）行政运行（项）:支出决算数为69.29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29.52%，主要原因是：</w:t>
      </w:r>
      <w:r>
        <w:rPr>
          <w:rFonts w:hint="eastAsia" w:ascii="仿宋_GB2312" w:eastAsia="仿宋_GB2312"/>
          <w:color w:val="auto"/>
          <w:spacing w:val="0"/>
          <w:sz w:val="32"/>
          <w:szCs w:val="32"/>
          <w:highlight w:val="none"/>
          <w:lang w:val="en-US" w:eastAsia="zh-CN"/>
        </w:rPr>
        <w:t>本年度新增基础绩效等人员工资经费</w:t>
      </w:r>
      <w:r>
        <w:rPr>
          <w:rFonts w:hint="eastAsia" w:eastAsia="仿宋_GB2312"/>
          <w:sz w:val="32"/>
          <w:szCs w:val="32"/>
          <w:lang w:val="zh-CN"/>
        </w:rPr>
        <w:t>。</w:t>
      </w:r>
    </w:p>
    <w:p w14:paraId="582D190D">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84.22%，主要原因是：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35DAFA11">
      <w:pPr>
        <w:ind w:firstLine="640" w:firstLineChars="200"/>
        <w:rPr>
          <w:rFonts w:eastAsia="仿宋_GB2312"/>
          <w:sz w:val="32"/>
          <w:szCs w:val="32"/>
          <w:lang w:val="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30.20%，主要原因是：</w:t>
      </w:r>
      <w:r>
        <w:rPr>
          <w:rFonts w:hint="eastAsia" w:eastAsia="仿宋_GB2312" w:cs="Times New Roman"/>
          <w:color w:val="auto"/>
          <w:kern w:val="2"/>
          <w:sz w:val="32"/>
          <w:szCs w:val="32"/>
          <w:highlight w:val="none"/>
          <w:lang w:val="en-US" w:eastAsia="zh-CN" w:bidi="ar-SA"/>
        </w:rPr>
        <w:t>根据相关通知，退休人员不缴纳医疗费，支出减少</w:t>
      </w:r>
      <w:r>
        <w:rPr>
          <w:rFonts w:hint="eastAsia" w:eastAsia="仿宋_GB2312"/>
          <w:sz w:val="32"/>
          <w:szCs w:val="32"/>
          <w:lang w:val="zh-CN"/>
        </w:rPr>
        <w:t>。</w:t>
      </w:r>
    </w:p>
    <w:p w14:paraId="3DCFE5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84.22%，主要原因是：</w:t>
      </w:r>
      <w:r>
        <w:rPr>
          <w:rFonts w:hint="eastAsia" w:eastAsia="仿宋_GB2312" w:cs="Times New Roman"/>
          <w:color w:val="auto"/>
          <w:kern w:val="2"/>
          <w:sz w:val="32"/>
          <w:szCs w:val="32"/>
          <w:highlight w:val="none"/>
          <w:lang w:val="zh-CN"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eastAsia="仿宋_GB2312" w:cs="Times New Roman"/>
          <w:color w:val="auto"/>
          <w:kern w:val="2"/>
          <w:sz w:val="32"/>
          <w:szCs w:val="32"/>
          <w:highlight w:val="none"/>
          <w:lang w:val="zh-CN" w:eastAsia="zh-CN" w:bidi="ar-SA"/>
        </w:rPr>
        <w:t>缴费支出增加。</w:t>
      </w:r>
    </w:p>
    <w:p w14:paraId="1015DA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2D674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97.65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基本工资、津贴补贴、奖金、机关事业单位基本养老保险缴费、职工基本医疗保险缴费、公务员医疗补助缴费、其他社会保障缴费、住房公积金、其他工资福利支出、退休费、奖励金、其他对个人和家庭的补助。</w:t>
      </w:r>
    </w:p>
    <w:p w14:paraId="5C59B9D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14:paraId="2DC240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E86CF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270B62B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427F1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sz w:val="32"/>
          <w:szCs w:val="32"/>
          <w:lang w:val="zh-CN"/>
        </w:rPr>
        <w:t>。单位全年安排的因公出国（境）团组0个，因公出国（境）0人次。</w:t>
      </w:r>
    </w:p>
    <w:p w14:paraId="59BEA41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en-US" w:eastAsia="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w:t>
      </w:r>
      <w:r>
        <w:rPr>
          <w:rFonts w:hint="eastAsia" w:ascii="仿宋_GB2312" w:eastAsia="仿宋_GB2312"/>
          <w:sz w:val="32"/>
          <w:szCs w:val="32"/>
        </w:rPr>
        <w:t>固定资产车辆</w:t>
      </w:r>
      <w:r>
        <w:rPr>
          <w:rFonts w:hint="eastAsia" w:ascii="仿宋_GB2312" w:eastAsia="仿宋_GB2312"/>
          <w:sz w:val="32"/>
          <w:szCs w:val="32"/>
          <w:lang w:eastAsia="zh-CN"/>
        </w:rPr>
        <w:t>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r>
        <w:rPr>
          <w:rFonts w:hint="eastAsia" w:ascii="仿宋_GB2312" w:eastAsia="仿宋_GB2312"/>
          <w:sz w:val="32"/>
          <w:szCs w:val="32"/>
          <w:lang w:val="zh-CN"/>
        </w:rPr>
        <w:t>。</w:t>
      </w:r>
    </w:p>
    <w:p w14:paraId="45FD31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lang w:val="zh-CN"/>
        </w:rPr>
        <w:t>。单位全年安排的国内公务接待0批次，0人次。</w:t>
      </w:r>
    </w:p>
    <w:p w14:paraId="7D705F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54D58A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A35FEEA">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3DB54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94D5449">
      <w:pPr>
        <w:ind w:firstLine="640" w:firstLineChars="200"/>
        <w:rPr>
          <w:rFonts w:ascii="仿宋_GB2312" w:eastAsia="仿宋_GB2312"/>
          <w:sz w:val="32"/>
          <w:szCs w:val="32"/>
        </w:rPr>
      </w:pPr>
      <w:bookmarkStart w:id="20" w:name="_Toc1235"/>
      <w:bookmarkStart w:id="21" w:name="_Toc7314"/>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F515A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01BD7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C16B887">
      <w:pPr>
        <w:ind w:firstLine="640" w:firstLineChars="200"/>
        <w:rPr>
          <w:rFonts w:eastAsia="仿宋_GB2312"/>
          <w:sz w:val="32"/>
          <w:szCs w:val="32"/>
          <w:lang w:val="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呼图壁县国土资源执法监察大队（行政单位和参照公务员法管理事业单位）机关运行经费支出6.77万元，</w:t>
      </w:r>
      <w:r>
        <w:rPr>
          <w:rFonts w:hint="eastAsia" w:ascii="Times New Roman" w:hAnsi="Times New Roman" w:eastAsia="仿宋_GB2312" w:cs="Times New Roman"/>
          <w:color w:val="auto"/>
          <w:sz w:val="32"/>
          <w:szCs w:val="32"/>
          <w:highlight w:val="none"/>
          <w:lang w:val="zh-CN" w:eastAsia="zh-CN"/>
        </w:rPr>
        <w:t>比上年增加1.12万元，增长19.86%，主要原因是：</w:t>
      </w:r>
      <w:r>
        <w:rPr>
          <w:rFonts w:hint="eastAsia" w:eastAsia="仿宋_GB2312" w:cs="Times New Roman"/>
          <w:color w:val="auto"/>
          <w:kern w:val="2"/>
          <w:sz w:val="32"/>
          <w:szCs w:val="32"/>
          <w:highlight w:val="none"/>
          <w:lang w:val="en-US" w:eastAsia="zh-CN" w:bidi="ar-SA"/>
        </w:rPr>
        <w:t>本年度人员工资基数调高，机关运行支出增加</w:t>
      </w:r>
      <w:r>
        <w:rPr>
          <w:rFonts w:hint="eastAsia" w:eastAsia="仿宋_GB2312"/>
          <w:sz w:val="32"/>
          <w:szCs w:val="32"/>
          <w:lang w:val="zh-CN"/>
        </w:rPr>
        <w:t>。</w:t>
      </w:r>
    </w:p>
    <w:p w14:paraId="7AB641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6FAA4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A6A64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C6E15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681CB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37.76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屋0.0平方米，价值0.00万元。车辆1辆，价值18.27万元，其中：副部（省）级及以上领导用车0辆、主要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F0E08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A87E2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6406E4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3846D9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117FCDC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CAE71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902F5C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7E1D5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34238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C2B9E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A633DF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2B8EA1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9C332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7CB7E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F32C6B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3A0C37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14EC82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6BA92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8D8F69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0003C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77F929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7C3AF5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85C4B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BA872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28B78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43D585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1D9E69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20F372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AC301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E1469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19944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ED9F6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F2BAF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4DCE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3FC46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D4364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B8D514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6EAE0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A7F11F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75B41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DE8F1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2555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09714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BA095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669DA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CB6CE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71C10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1BD3D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9BB20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B925A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08CE9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59D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5AFF2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55AFF2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F559D"/>
    <w:rsid w:val="16D50C50"/>
    <w:rsid w:val="16E120E1"/>
    <w:rsid w:val="17385A05"/>
    <w:rsid w:val="173B3901"/>
    <w:rsid w:val="176747F9"/>
    <w:rsid w:val="17954A6E"/>
    <w:rsid w:val="180059E9"/>
    <w:rsid w:val="184510FD"/>
    <w:rsid w:val="190648B0"/>
    <w:rsid w:val="19071D6C"/>
    <w:rsid w:val="19D26CD4"/>
    <w:rsid w:val="19E60D19"/>
    <w:rsid w:val="1A3E3450"/>
    <w:rsid w:val="1ACD744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6C7A9C"/>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52A57"/>
    <w:rsid w:val="30862F5F"/>
    <w:rsid w:val="30FC7944"/>
    <w:rsid w:val="31170307"/>
    <w:rsid w:val="314029C9"/>
    <w:rsid w:val="318B6B12"/>
    <w:rsid w:val="31C63837"/>
    <w:rsid w:val="31C82E39"/>
    <w:rsid w:val="32601BAD"/>
    <w:rsid w:val="329F6389"/>
    <w:rsid w:val="3389023A"/>
    <w:rsid w:val="33CB74FA"/>
    <w:rsid w:val="343642F2"/>
    <w:rsid w:val="343F3010"/>
    <w:rsid w:val="345D0A00"/>
    <w:rsid w:val="34713BFD"/>
    <w:rsid w:val="34C13589"/>
    <w:rsid w:val="353369E3"/>
    <w:rsid w:val="35D41635"/>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BB02DC"/>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287C92"/>
    <w:rsid w:val="534C0AEA"/>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407978"/>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E001C4"/>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5705FB"/>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6B39E6"/>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CE6F1A"/>
    <w:rsid w:val="7AD53508"/>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5176</Words>
  <Characters>5751</Characters>
  <Lines>0</Lines>
  <Paragraphs>0</Paragraphs>
  <TotalTime>0</TotalTime>
  <ScaleCrop>false</ScaleCrop>
  <LinksUpToDate>false</LinksUpToDate>
  <CharactersWithSpaces>5772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