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BF3D30">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3435512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3EBE05E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奇台县国土资源执法监察大队</w:t>
      </w:r>
    </w:p>
    <w:p w14:paraId="345A47F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3715B70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0CE7C2B7">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5067856C">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25C35765">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6AC4E38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14DE69D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4BE0007B">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5412B2F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6ACCCF8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7EDCF5E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75B1484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0F8C5DE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1E603EC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46707BA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306962E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1CE9ED7F">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4375882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7758BADC">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5E4BD944">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66C2B3A9">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3102742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53E532D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61046DEF">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2B6B99C7">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20AE8C7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4266D19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47C3557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46A7186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5F828A1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6BD0E04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344CAA4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584FD1D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69E2038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37350F0B">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60721F61">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45CB89F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1511030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10F68C30">
      <w:pPr>
        <w:ind w:firstLine="640" w:firstLineChars="200"/>
        <w:rPr>
          <w:rFonts w:ascii="黑体" w:hAnsi="黑体" w:eastAsia="黑体" w:cs="宋体"/>
          <w:bCs/>
          <w:kern w:val="0"/>
          <w:sz w:val="32"/>
          <w:szCs w:val="32"/>
        </w:rPr>
      </w:pPr>
      <w:bookmarkStart w:id="4" w:name="_Toc31238"/>
      <w:bookmarkStart w:id="5" w:name="_Toc2151"/>
      <w:r>
        <w:rPr>
          <w:rFonts w:ascii="仿宋_GB2312" w:hAnsi="Times New Roman" w:eastAsia="仿宋_GB2312" w:cs="Times New Roman"/>
          <w:sz w:val="32"/>
          <w:szCs w:val="32"/>
        </w:rPr>
        <w:t>奇台县国土资源执法监察大队，为自治区自然资源厅下属四级预算单位，参照公务员法管理的事业单位。实行垂直管理，统一履行奇台县区域内国土资源执法监察职能。</w:t>
      </w:r>
      <w:r>
        <w:rPr>
          <w:rFonts w:ascii="仿宋_GB2312" w:hAnsi="Times New Roman" w:eastAsia="仿宋_GB2312" w:cs="Times New Roman"/>
          <w:sz w:val="32"/>
          <w:szCs w:val="32"/>
        </w:rPr>
        <w:br w:type="textWrapping"/>
      </w:r>
      <w:r>
        <w:rPr>
          <w:rFonts w:ascii="仿宋_GB2312" w:hAnsi="Times New Roman" w:eastAsia="仿宋_GB2312" w:cs="Times New Roman"/>
          <w:sz w:val="32"/>
          <w:szCs w:val="32"/>
        </w:rPr>
        <w:t>　　1、宣传和贯彻执行国家、自治区有关土地、矿产资源的法律、法规、规章和政策。</w:t>
      </w:r>
      <w:r>
        <w:rPr>
          <w:rFonts w:ascii="仿宋_GB2312" w:hAnsi="Times New Roman" w:eastAsia="仿宋_GB2312" w:cs="Times New Roman"/>
          <w:sz w:val="32"/>
          <w:szCs w:val="32"/>
        </w:rPr>
        <w:br w:type="textWrapping"/>
      </w:r>
      <w:r>
        <w:rPr>
          <w:rFonts w:ascii="仿宋_GB2312" w:hAnsi="Times New Roman" w:eastAsia="仿宋_GB2312" w:cs="Times New Roman"/>
          <w:sz w:val="32"/>
          <w:szCs w:val="32"/>
        </w:rPr>
        <w:t>　　2、组织和实施对全县执行土地、矿产资源法律、法规、规章情况的巡查，及时发现和制止土地、矿产资源违法行为。</w:t>
      </w:r>
      <w:r>
        <w:rPr>
          <w:rFonts w:ascii="仿宋_GB2312" w:hAnsi="Times New Roman" w:eastAsia="仿宋_GB2312" w:cs="Times New Roman"/>
          <w:sz w:val="32"/>
          <w:szCs w:val="32"/>
        </w:rPr>
        <w:br w:type="textWrapping"/>
      </w:r>
      <w:r>
        <w:rPr>
          <w:rFonts w:ascii="仿宋_GB2312" w:hAnsi="Times New Roman" w:eastAsia="仿宋_GB2312" w:cs="Times New Roman"/>
          <w:sz w:val="32"/>
          <w:szCs w:val="32"/>
        </w:rPr>
        <w:t>　　3、依法组织和实施奇台县重大土地、矿产资源违法案件的调查、取证、现场勘验工作，并进行查处。</w:t>
      </w:r>
      <w:r>
        <w:rPr>
          <w:rFonts w:ascii="仿宋_GB2312" w:hAnsi="Times New Roman" w:eastAsia="仿宋_GB2312" w:cs="Times New Roman"/>
          <w:sz w:val="32"/>
          <w:szCs w:val="32"/>
        </w:rPr>
        <w:br w:type="textWrapping"/>
      </w:r>
      <w:r>
        <w:rPr>
          <w:rFonts w:ascii="仿宋_GB2312" w:hAnsi="Times New Roman" w:eastAsia="仿宋_GB2312" w:cs="Times New Roman"/>
          <w:sz w:val="32"/>
          <w:szCs w:val="32"/>
        </w:rPr>
        <w:t>　　4、负责奇台县重大土地、矿产资源违法案件查处决定的督办。</w:t>
      </w:r>
      <w:r>
        <w:rPr>
          <w:rFonts w:ascii="仿宋_GB2312" w:hAnsi="Times New Roman" w:eastAsia="仿宋_GB2312" w:cs="Times New Roman"/>
          <w:sz w:val="32"/>
          <w:szCs w:val="32"/>
        </w:rPr>
        <w:br w:type="textWrapping"/>
      </w:r>
      <w:r>
        <w:rPr>
          <w:rFonts w:ascii="仿宋_GB2312" w:hAnsi="Times New Roman" w:eastAsia="仿宋_GB2312" w:cs="Times New Roman"/>
          <w:sz w:val="32"/>
          <w:szCs w:val="32"/>
        </w:rPr>
        <w:t>　　5、完成自治区国土资源执法监察总队、支队和当地党委政府交办的其他工作</w:t>
      </w:r>
      <w:r>
        <w:rPr>
          <w:rFonts w:hint="eastAsia" w:ascii="仿宋_GB2312" w:hAnsi="Times New Roman" w:eastAsia="仿宋_GB2312" w:cs="Times New Roman"/>
          <w:sz w:val="32"/>
          <w:szCs w:val="32"/>
        </w:rPr>
        <w:t>。</w:t>
      </w:r>
    </w:p>
    <w:p w14:paraId="09DCBE4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6D983B6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奇台县国土资源执法监察大队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w:t>
      </w:r>
      <w:r>
        <w:rPr>
          <w:rFonts w:hint="eastAsia" w:ascii="仿宋_GB2312" w:eastAsia="仿宋_GB2312"/>
          <w:color w:val="auto"/>
          <w:sz w:val="32"/>
          <w:szCs w:val="32"/>
          <w:highlight w:val="none"/>
        </w:rPr>
        <w:t>人。</w:t>
      </w:r>
    </w:p>
    <w:p w14:paraId="2EA21588">
      <w:pPr>
        <w:ind w:firstLine="640" w:firstLineChars="200"/>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w:t>
      </w:r>
      <w:r>
        <w:rPr>
          <w:rFonts w:hint="eastAsia" w:ascii="仿宋_GB2312" w:hAnsi="黑体" w:eastAsia="仿宋_GB2312" w:cs="宋体"/>
          <w:bCs/>
          <w:kern w:val="0"/>
          <w:sz w:val="32"/>
          <w:szCs w:val="32"/>
          <w:lang w:eastAsia="zh-CN"/>
        </w:rPr>
        <w:t>科</w:t>
      </w:r>
      <w:r>
        <w:rPr>
          <w:rFonts w:hint="eastAsia" w:ascii="仿宋_GB2312" w:hAnsi="黑体" w:eastAsia="仿宋_GB2312" w:cs="宋体"/>
          <w:bCs/>
          <w:kern w:val="0"/>
          <w:sz w:val="32"/>
          <w:szCs w:val="32"/>
        </w:rPr>
        <w:t>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14:paraId="06685B4D">
      <w:pPr>
        <w:ind w:firstLine="640" w:firstLineChars="200"/>
        <w:rPr>
          <w:rFonts w:hint="eastAsia" w:ascii="仿宋_GB2312" w:hAnsi="宋体" w:eastAsia="仿宋_GB2312" w:cs="宋体"/>
          <w:kern w:val="0"/>
          <w:sz w:val="32"/>
          <w:szCs w:val="32"/>
        </w:rPr>
      </w:pPr>
    </w:p>
    <w:p w14:paraId="58ABB133">
      <w:pPr>
        <w:ind w:firstLine="640" w:firstLineChars="200"/>
        <w:rPr>
          <w:rFonts w:hint="eastAsia" w:ascii="仿宋_GB2312" w:hAnsi="宋体" w:eastAsia="仿宋_GB2312" w:cs="宋体"/>
          <w:kern w:val="0"/>
          <w:sz w:val="32"/>
          <w:szCs w:val="32"/>
        </w:rPr>
      </w:pPr>
    </w:p>
    <w:p w14:paraId="45648CE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4324894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231861A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139.22万元，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133.26万元，使用非财政拨款结余0.00万元，年初结转和结余5.96万元。</w:t>
      </w:r>
    </w:p>
    <w:p w14:paraId="3CBBD18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139.22万元，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135.29万元，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0.00万元，年末结转和结余3.92万元。</w:t>
      </w:r>
    </w:p>
    <w:p w14:paraId="7904ED3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增加15.21万元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增长12.27%</w:t>
      </w:r>
      <w:r>
        <w:rPr>
          <w:rFonts w:hint="eastAsia" w:ascii="仿宋_GB2312" w:eastAsia="仿宋_GB2312"/>
          <w:color w:val="auto"/>
          <w:spacing w:val="0"/>
          <w:sz w:val="32"/>
          <w:szCs w:val="32"/>
          <w:highlight w:val="none"/>
          <w:lang w:eastAsia="zh-CN"/>
        </w:rPr>
        <w:t>，主要原因是：本年度新增基础绩效等工资福利支出增加。</w:t>
      </w:r>
    </w:p>
    <w:p w14:paraId="1A14569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2134AB3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133.26</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133.24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20FE198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637E0E4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本年支出135.29万元，其中：基本支出88.69万元，占65.55%；项目支出46.60万元，占34.45%；上缴上级支出0.00万元，占0.00%；经营支出0.00万元，占0.00%；对附属单位补助支出0.00万元，占0.00%。</w:t>
      </w:r>
    </w:p>
    <w:p w14:paraId="4C5E1F1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434B76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136.84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3.60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133.24</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136.84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2.00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134.84</w:t>
      </w:r>
      <w:r>
        <w:rPr>
          <w:rFonts w:hint="eastAsia" w:ascii="仿宋_GB2312" w:eastAsia="仿宋_GB2312"/>
          <w:color w:val="auto"/>
          <w:spacing w:val="0"/>
          <w:sz w:val="32"/>
          <w:szCs w:val="32"/>
          <w:highlight w:val="none"/>
          <w:lang w:eastAsia="zh-CN"/>
        </w:rPr>
        <w:t>万元。</w:t>
      </w:r>
    </w:p>
    <w:p w14:paraId="771CD23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增加15.20万元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增长12.49%，</w:t>
      </w:r>
      <w:r>
        <w:rPr>
          <w:rFonts w:hint="eastAsia" w:ascii="仿宋_GB2312" w:eastAsia="仿宋_GB2312"/>
          <w:color w:val="auto"/>
          <w:spacing w:val="0"/>
          <w:sz w:val="32"/>
          <w:szCs w:val="32"/>
          <w:highlight w:val="none"/>
          <w:lang w:eastAsia="zh-CN"/>
        </w:rPr>
        <w:t>主要原因是：本年度新增基础绩效等工资福利支出增加。与年初预算相比，年初预算数</w:t>
      </w:r>
      <w:r>
        <w:rPr>
          <w:rFonts w:hint="eastAsia" w:ascii="仿宋_GB2312" w:eastAsia="仿宋_GB2312"/>
          <w:color w:val="auto"/>
          <w:spacing w:val="0"/>
          <w:sz w:val="32"/>
          <w:szCs w:val="32"/>
          <w:highlight w:val="none"/>
          <w:lang w:val="zh-CN" w:eastAsia="zh-CN"/>
        </w:rPr>
        <w:t>126.51</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136.84</w:t>
      </w:r>
      <w:r>
        <w:rPr>
          <w:rFonts w:hint="eastAsia" w:ascii="仿宋_GB2312" w:eastAsia="仿宋_GB2312"/>
          <w:color w:val="auto"/>
          <w:spacing w:val="0"/>
          <w:sz w:val="32"/>
          <w:szCs w:val="32"/>
          <w:highlight w:val="none"/>
          <w:lang w:eastAsia="zh-CN"/>
        </w:rPr>
        <w:t>万元，预决算差异率8.16%，主要原因是：本年度追加基础绩效等工资经费。</w:t>
      </w:r>
    </w:p>
    <w:p w14:paraId="78A25AB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48BF0E4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241377F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2023年度一般公共预算财政拨款支出134.84万元，占本年支出合计的</w:t>
      </w:r>
      <w:r>
        <w:rPr>
          <w:rFonts w:hint="eastAsia" w:ascii="仿宋_GB2312" w:eastAsia="仿宋_GB2312"/>
          <w:color w:val="auto"/>
          <w:spacing w:val="0"/>
          <w:sz w:val="32"/>
          <w:szCs w:val="32"/>
          <w:highlight w:val="none"/>
          <w:lang w:val="zh-CN" w:eastAsia="zh-CN"/>
        </w:rPr>
        <w:t>99.67%</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增加16.80万元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增长14.23%，</w:t>
      </w:r>
      <w:r>
        <w:rPr>
          <w:rFonts w:hint="eastAsia" w:ascii="仿宋_GB2312" w:eastAsia="仿宋_GB2312"/>
          <w:color w:val="auto"/>
          <w:spacing w:val="0"/>
          <w:sz w:val="32"/>
          <w:szCs w:val="32"/>
          <w:highlight w:val="none"/>
          <w:lang w:eastAsia="zh-CN"/>
        </w:rPr>
        <w:t>主要原因是：本年度新增基础绩效等工资福利支出增加。与年初预算相比，年初预算数</w:t>
      </w:r>
      <w:r>
        <w:rPr>
          <w:rFonts w:hint="eastAsia" w:ascii="仿宋_GB2312" w:eastAsia="仿宋_GB2312"/>
          <w:color w:val="auto"/>
          <w:spacing w:val="0"/>
          <w:sz w:val="32"/>
          <w:szCs w:val="32"/>
          <w:highlight w:val="none"/>
          <w:lang w:val="zh-CN" w:eastAsia="zh-CN"/>
        </w:rPr>
        <w:t>126.51</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134.84</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6.58%</w:t>
      </w:r>
      <w:r>
        <w:rPr>
          <w:rFonts w:hint="eastAsia" w:ascii="仿宋_GB2312" w:eastAsia="仿宋_GB2312"/>
          <w:color w:val="auto"/>
          <w:spacing w:val="0"/>
          <w:sz w:val="32"/>
          <w:szCs w:val="32"/>
          <w:highlight w:val="none"/>
          <w:lang w:eastAsia="zh-CN"/>
        </w:rPr>
        <w:t>，主要原因是：本年度追加基础绩效等工资经费。</w:t>
      </w:r>
    </w:p>
    <w:p w14:paraId="7A11007A">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07F5C56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11.60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8.60</w:t>
      </w:r>
      <w:r>
        <w:rPr>
          <w:rFonts w:hint="default" w:ascii="仿宋_GB2312" w:hAnsi="Times New Roman" w:eastAsia="仿宋_GB2312" w:cs="Times New Roman"/>
          <w:color w:val="auto"/>
          <w:spacing w:val="0"/>
          <w:kern w:val="2"/>
          <w:sz w:val="32"/>
          <w:szCs w:val="32"/>
          <w:highlight w:val="none"/>
          <w:lang w:val="zh-CN" w:eastAsia="zh-CN" w:bidi="ar-SA"/>
        </w:rPr>
        <w:t>%；</w:t>
      </w:r>
    </w:p>
    <w:p w14:paraId="7D7A0EA8">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7.18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5.32</w:t>
      </w:r>
      <w:r>
        <w:rPr>
          <w:rFonts w:hint="default" w:ascii="仿宋_GB2312" w:hAnsi="Times New Roman" w:eastAsia="仿宋_GB2312" w:cs="Times New Roman"/>
          <w:color w:val="auto"/>
          <w:spacing w:val="0"/>
          <w:kern w:val="2"/>
          <w:sz w:val="32"/>
          <w:szCs w:val="32"/>
          <w:highlight w:val="none"/>
          <w:lang w:val="zh-CN" w:eastAsia="zh-CN" w:bidi="ar-SA"/>
        </w:rPr>
        <w:t>%；</w:t>
      </w:r>
    </w:p>
    <w:p w14:paraId="31FE513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110.34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81.83</w:t>
      </w:r>
      <w:r>
        <w:rPr>
          <w:rFonts w:hint="default" w:ascii="仿宋_GB2312" w:hAnsi="Times New Roman" w:eastAsia="仿宋_GB2312" w:cs="Times New Roman"/>
          <w:color w:val="auto"/>
          <w:spacing w:val="0"/>
          <w:kern w:val="2"/>
          <w:sz w:val="32"/>
          <w:szCs w:val="32"/>
          <w:highlight w:val="none"/>
          <w:lang w:val="zh-CN" w:eastAsia="zh-CN" w:bidi="ar-SA"/>
        </w:rPr>
        <w:t>%；</w:t>
      </w:r>
    </w:p>
    <w:p w14:paraId="6660DBE0">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5.73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4.25</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14:paraId="00617FB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4DC5C27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1.卫生健康支出（类）行政事业单位医疗（款）行政单位医疗（项）:支出决算数为3.84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0.83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27.60%，主要原因是：</w:t>
      </w:r>
      <w:r>
        <w:rPr>
          <w:rFonts w:hint="eastAsia" w:ascii="Times New Roman" w:hAnsi="Times New Roman" w:eastAsia="仿宋_GB2312" w:cs="Times New Roman"/>
          <w:color w:val="auto"/>
          <w:kern w:val="2"/>
          <w:sz w:val="32"/>
          <w:szCs w:val="32"/>
          <w:highlight w:val="none"/>
          <w:lang w:val="zh-CN" w:eastAsia="zh-CN" w:bidi="ar-SA"/>
        </w:rPr>
        <w:t>本年度人员工资基数调高，</w:t>
      </w:r>
      <w:r>
        <w:rPr>
          <w:rFonts w:hint="eastAsia" w:ascii="Times New Roman" w:hAnsi="Times New Roman" w:eastAsia="仿宋_GB2312" w:cs="Times New Roman"/>
          <w:color w:val="auto"/>
          <w:kern w:val="2"/>
          <w:sz w:val="32"/>
          <w:szCs w:val="32"/>
          <w:highlight w:val="none"/>
          <w:lang w:val="en-US" w:eastAsia="zh-CN" w:bidi="ar-SA"/>
        </w:rPr>
        <w:t>行政单位医疗</w:t>
      </w:r>
      <w:r>
        <w:rPr>
          <w:rFonts w:hint="eastAsia" w:ascii="Times New Roman" w:hAnsi="Times New Roman" w:eastAsia="仿宋_GB2312" w:cs="Times New Roman"/>
          <w:color w:val="auto"/>
          <w:kern w:val="2"/>
          <w:sz w:val="32"/>
          <w:szCs w:val="32"/>
          <w:highlight w:val="none"/>
          <w:lang w:val="zh-CN" w:eastAsia="zh-CN" w:bidi="ar-SA"/>
        </w:rPr>
        <w:t>缴费支出增加。</w:t>
      </w:r>
    </w:p>
    <w:p w14:paraId="5FAE92D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2.卫生健康支出（类）行政事业单位医疗（款）公务员医疗补助（项）:支出决算数为3.34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42.91%，主要原因是：</w:t>
      </w:r>
      <w:r>
        <w:rPr>
          <w:rFonts w:hint="eastAsia" w:ascii="Times New Roman" w:hAnsi="Times New Roman" w:eastAsia="仿宋_GB2312" w:cs="Times New Roman"/>
          <w:color w:val="auto"/>
          <w:kern w:val="2"/>
          <w:sz w:val="32"/>
          <w:szCs w:val="32"/>
          <w:highlight w:val="none"/>
          <w:lang w:val="zh-CN" w:eastAsia="zh-CN" w:bidi="ar-SA"/>
        </w:rPr>
        <w:t>本年度人员工资基数调高，</w:t>
      </w:r>
      <w:r>
        <w:rPr>
          <w:rFonts w:hint="eastAsia" w:ascii="Times New Roman" w:hAnsi="Times New Roman" w:eastAsia="仿宋_GB2312" w:cs="Times New Roman"/>
          <w:color w:val="auto"/>
          <w:kern w:val="2"/>
          <w:sz w:val="32"/>
          <w:szCs w:val="32"/>
          <w:highlight w:val="none"/>
          <w:lang w:val="en-US" w:eastAsia="zh-CN" w:bidi="ar-SA"/>
        </w:rPr>
        <w:t>公务员医疗补助</w:t>
      </w:r>
      <w:r>
        <w:rPr>
          <w:rFonts w:hint="eastAsia" w:ascii="Times New Roman" w:hAnsi="Times New Roman" w:eastAsia="仿宋_GB2312" w:cs="Times New Roman"/>
          <w:color w:val="auto"/>
          <w:kern w:val="2"/>
          <w:sz w:val="32"/>
          <w:szCs w:val="32"/>
          <w:highlight w:val="none"/>
          <w:lang w:val="zh-CN" w:eastAsia="zh-CN" w:bidi="ar-SA"/>
        </w:rPr>
        <w:t>缴费支出增加</w:t>
      </w:r>
      <w:r>
        <w:rPr>
          <w:rFonts w:hint="eastAsia" w:eastAsia="仿宋_GB2312" w:cs="Times New Roman"/>
          <w:color w:val="auto"/>
          <w:kern w:val="2"/>
          <w:sz w:val="32"/>
          <w:szCs w:val="32"/>
          <w:highlight w:val="none"/>
          <w:lang w:val="zh-CN" w:eastAsia="zh-CN" w:bidi="ar-SA"/>
        </w:rPr>
        <w:t>。</w:t>
      </w:r>
    </w:p>
    <w:p w14:paraId="4B132EA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3.自然资源海洋气象等支出（类）自然资源事务（款）其他自然资源事务支出（项）:支出决算数为46.60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6.73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16.88%，主要原因是：</w:t>
      </w:r>
      <w:r>
        <w:rPr>
          <w:rFonts w:hint="eastAsia" w:eastAsia="仿宋_GB2312" w:cs="Times New Roman"/>
          <w:color w:val="auto"/>
          <w:kern w:val="2"/>
          <w:sz w:val="32"/>
          <w:szCs w:val="32"/>
          <w:highlight w:val="none"/>
          <w:lang w:val="zh-CN" w:eastAsia="zh-CN" w:bidi="ar-SA"/>
        </w:rPr>
        <w:t>本年度安全生产、卫片执法等专项工作较多，执法办案支出增加。</w:t>
      </w:r>
    </w:p>
    <w:p w14:paraId="6B0A0AB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4.自然资源海洋气象等支出（类）自然资源事务（款）行政运行（项）:支出决算数为63.74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6.43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11.22%，主要原因是：</w:t>
      </w:r>
      <w:r>
        <w:rPr>
          <w:rFonts w:hint="eastAsia" w:eastAsia="仿宋_GB2312" w:cs="Times New Roman"/>
          <w:color w:val="auto"/>
          <w:kern w:val="2"/>
          <w:sz w:val="32"/>
          <w:szCs w:val="32"/>
          <w:highlight w:val="none"/>
          <w:lang w:val="zh-CN" w:eastAsia="zh-CN" w:bidi="ar-SA"/>
        </w:rPr>
        <w:t>本年度追加基础绩效等人员工资经费。</w:t>
      </w:r>
    </w:p>
    <w:p w14:paraId="007BA60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5.住房保障支出（类）住房改革支出（款）住房公积金（项）:支出决算数为5.73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1.56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37.46%，主要原因是：</w:t>
      </w:r>
      <w:r>
        <w:rPr>
          <w:rFonts w:hint="eastAsia" w:ascii="Times New Roman" w:hAnsi="Times New Roman" w:eastAsia="仿宋_GB2312" w:cs="Times New Roman"/>
          <w:color w:val="auto"/>
          <w:kern w:val="2"/>
          <w:sz w:val="32"/>
          <w:szCs w:val="32"/>
          <w:highlight w:val="none"/>
          <w:lang w:val="zh-CN" w:eastAsia="zh-CN" w:bidi="ar-SA"/>
        </w:rPr>
        <w:t>本年度人员工资基数调高，</w:t>
      </w:r>
      <w:r>
        <w:rPr>
          <w:rFonts w:hint="eastAsia" w:ascii="Times New Roman" w:hAnsi="Times New Roman" w:eastAsia="仿宋_GB2312" w:cs="Times New Roman"/>
          <w:color w:val="auto"/>
          <w:kern w:val="2"/>
          <w:sz w:val="32"/>
          <w:szCs w:val="32"/>
          <w:highlight w:val="none"/>
          <w:lang w:val="en-US" w:eastAsia="zh-CN" w:bidi="ar-SA"/>
        </w:rPr>
        <w:t>住房公积金</w:t>
      </w:r>
      <w:r>
        <w:rPr>
          <w:rFonts w:hint="eastAsia" w:ascii="Times New Roman" w:hAnsi="Times New Roman" w:eastAsia="仿宋_GB2312" w:cs="Times New Roman"/>
          <w:color w:val="auto"/>
          <w:kern w:val="2"/>
          <w:sz w:val="32"/>
          <w:szCs w:val="32"/>
          <w:highlight w:val="none"/>
          <w:lang w:val="zh-CN" w:eastAsia="zh-CN" w:bidi="ar-SA"/>
        </w:rPr>
        <w:t>缴费支出增加。</w:t>
      </w:r>
    </w:p>
    <w:p w14:paraId="15632F8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6.社会保障和就业支出（类）行政事业单位养老支出（款）行政单位离退休（项）:支出决算数为3.96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1.84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31.72%，主要原因是：</w:t>
      </w:r>
      <w:r>
        <w:rPr>
          <w:rFonts w:hint="eastAsia" w:eastAsia="仿宋_GB2312" w:cs="Times New Roman"/>
          <w:color w:val="auto"/>
          <w:kern w:val="2"/>
          <w:sz w:val="32"/>
          <w:szCs w:val="32"/>
          <w:highlight w:val="none"/>
          <w:lang w:val="zh-CN" w:eastAsia="zh-CN" w:bidi="ar-SA"/>
        </w:rPr>
        <w:t>根据通知，退休人员不缴纳医疗费，支出减少。</w:t>
      </w:r>
    </w:p>
    <w:p w14:paraId="5B624C4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7.社会保障和就业支出（类）行政事业单位养老支出（款）机关事业单位基本养老保险缴费支出（项）:支出决算数为7.64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2.08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37.46%，主要原因是：</w:t>
      </w:r>
      <w:r>
        <w:rPr>
          <w:rFonts w:hint="eastAsia" w:ascii="Times New Roman" w:hAnsi="Times New Roman" w:eastAsia="仿宋_GB2312" w:cs="Times New Roman"/>
          <w:color w:val="auto"/>
          <w:kern w:val="2"/>
          <w:sz w:val="32"/>
          <w:szCs w:val="32"/>
          <w:highlight w:val="none"/>
          <w:lang w:val="zh-CN" w:eastAsia="zh-CN" w:bidi="ar-SA"/>
        </w:rPr>
        <w:t>本年度人员工资基数调高，</w:t>
      </w:r>
      <w:r>
        <w:rPr>
          <w:rFonts w:hint="eastAsia" w:ascii="Times New Roman" w:hAnsi="Times New Roman" w:eastAsia="仿宋_GB2312" w:cs="Times New Roman"/>
          <w:color w:val="auto"/>
          <w:kern w:val="2"/>
          <w:sz w:val="32"/>
          <w:szCs w:val="32"/>
          <w:highlight w:val="none"/>
          <w:lang w:val="en-US" w:eastAsia="zh-CN" w:bidi="ar-SA"/>
        </w:rPr>
        <w:t>基本养老保险</w:t>
      </w:r>
      <w:r>
        <w:rPr>
          <w:rFonts w:hint="eastAsia" w:ascii="Times New Roman" w:hAnsi="Times New Roman" w:eastAsia="仿宋_GB2312" w:cs="Times New Roman"/>
          <w:color w:val="auto"/>
          <w:kern w:val="2"/>
          <w:sz w:val="32"/>
          <w:szCs w:val="32"/>
          <w:highlight w:val="none"/>
          <w:lang w:val="zh-CN" w:eastAsia="zh-CN" w:bidi="ar-SA"/>
        </w:rPr>
        <w:t>缴费支出增加。</w:t>
      </w:r>
    </w:p>
    <w:p w14:paraId="6ED4BCD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62CE4FE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88.24</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83.26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基本工资、津贴补贴、奖金、机关事业单位基本养老保险缴费、职工基本医疗保险缴费、公务员医疗补助缴费、其他社会保障缴费、住房公积金、其他工资福利支出、退休费、奖励金、其他对个人和家庭的补助。</w:t>
      </w:r>
    </w:p>
    <w:p w14:paraId="526EBEB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4.98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办公费、邮电费、差旅费、维修（护）费、工会经费、福利费、其他交通费用、其他商品和服务支出。</w:t>
      </w:r>
    </w:p>
    <w:p w14:paraId="59C55D5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70CF4B7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我单位无财政拨款“三公”经费支出。其中：因公出国（境）费支出0.00万元，占0.00%，比上年增加0.00万元，增长0.00%，主要原因是：我单位无因公出国（境）费；公务用车购置及运行维护费支出0.00万元，占0.00%，比上年增加0.00万元，增长0.00%，主要原因是：我单位无公务用车购置及运行维护费；公务接待费支出0.00万元，占0.00%，比上年增加0.00万元，增长0.00%，主要原因是：我单位无公务接待费。</w:t>
      </w:r>
    </w:p>
    <w:p w14:paraId="0F2C301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2D64F7F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因公出国（境）费支出0.00万元，开支内容包括我单位无因公出国（境）费。单位全年安排的因公出国（境）团组0个，因公出国（境）0人次。</w:t>
      </w:r>
    </w:p>
    <w:p w14:paraId="587C921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我单位无公务用车购置及运行维护费。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原因是：我单位车辆为执法执勤用车</w:t>
      </w:r>
      <w:r>
        <w:rPr>
          <w:rFonts w:hint="eastAsia" w:eastAsia="仿宋_GB2312" w:cs="Times New Roman"/>
          <w:color w:val="auto"/>
          <w:sz w:val="32"/>
          <w:szCs w:val="32"/>
          <w:highlight w:val="none"/>
          <w:lang w:val="zh-CN" w:eastAsia="zh-CN"/>
        </w:rPr>
        <w:t>，</w:t>
      </w:r>
      <w:r>
        <w:rPr>
          <w:rFonts w:hint="eastAsia" w:ascii="仿宋_GB2312" w:eastAsia="仿宋_GB2312"/>
          <w:color w:val="auto"/>
          <w:sz w:val="32"/>
          <w:szCs w:val="32"/>
          <w:highlight w:val="none"/>
          <w:lang w:val="zh-CN" w:eastAsia="zh-CN"/>
        </w:rPr>
        <w:t>不属于公务用车，使用其他交通费，支付燃油及维修费。</w:t>
      </w:r>
    </w:p>
    <w:p w14:paraId="62B0BAE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公务接待费0.00万元，开支内容包括我单位无公务接待费。单位全年安排的国内公务接待0批次，0人次。</w:t>
      </w:r>
    </w:p>
    <w:p w14:paraId="1165D0D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预算数0.00万元，决算数0.00万元，预决算差异率0.00%，主要原因是：我单位无财政拨款“三公”经费支出。其中：因公出国（境）费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0.00万元，决算数0.00万元，预决算差异率0.00%，主要原因是：我单位无因公出国（境）费；公务用车购置费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预算数0.00万元，决算数0.00万元，预决算差异率0.00%，主要原因是：我单位无公务用车运行维护费；公务接待费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预算数0.00万元，决算数0.00万元，预决算差异率0.00%，主要原因是：我单位无公务接待费。</w:t>
      </w:r>
    </w:p>
    <w:p w14:paraId="0B2DA94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543C355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505FDF9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0A9889D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67B8B70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36346D4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068453A2">
      <w:pPr>
        <w:ind w:firstLine="640" w:firstLineChars="200"/>
        <w:outlineLvl w:val="2"/>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奇台县国土资源执法监察大队（行政单位和参照公务员法管理事业单位）机关运行经费支出4.98万元，比上年增加0.39万元，增长8.39%,主要原因是：</w:t>
      </w:r>
      <w:r>
        <w:rPr>
          <w:rFonts w:hint="eastAsia" w:ascii="仿宋_GB2312" w:eastAsia="仿宋_GB2312"/>
          <w:sz w:val="32"/>
          <w:szCs w:val="32"/>
        </w:rPr>
        <w:t>本年度人员工资基数调高，机关运行经费增加。</w:t>
      </w:r>
    </w:p>
    <w:p w14:paraId="4191050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0E6A09C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41064A2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142D10F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5C3D528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34.79</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屋0.0平方米，价值0.00万元。车辆1辆，价值15.98万元，其中：副部（省）级及以上领导用车0辆、主要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ascii="仿宋_GB2312" w:eastAsia="仿宋_GB2312"/>
          <w:sz w:val="32"/>
          <w:szCs w:val="32"/>
        </w:rPr>
        <w:t>我单位无其他用车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3EE2DC5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67EE2855">
      <w:pPr>
        <w:ind w:firstLine="640" w:firstLineChars="200"/>
        <w:rPr>
          <w:rFonts w:ascii="仿宋_GB2312" w:eastAsia="仿宋_GB2312"/>
          <w:sz w:val="32"/>
          <w:szCs w:val="32"/>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bookmarkStart w:id="48" w:name="_GoBack"/>
      <w:bookmarkEnd w:id="48"/>
      <w:r>
        <w:rPr>
          <w:rFonts w:hint="eastAsia" w:ascii="仿宋_GB2312" w:eastAsia="仿宋_GB2312"/>
          <w:sz w:val="32"/>
          <w:szCs w:val="32"/>
        </w:rPr>
        <w:t>。</w:t>
      </w:r>
    </w:p>
    <w:p w14:paraId="58D5E16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53DAA75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14:paraId="4FE4927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754E78D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0F340B9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5C8C161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4830785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1CC1CE1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49D01F4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0007880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22C9793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165286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07267F4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27B500B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439830A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58A4D76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58BE215B">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12A550D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3F1D5D1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7386FF6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5CCC25B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3104198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209C09B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692856D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06C7D0B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644EFE8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4C6B872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77D86266">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115E798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CDDA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A767715">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7A767715">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4736E4"/>
    <w:rsid w:val="127F665A"/>
    <w:rsid w:val="12F7068C"/>
    <w:rsid w:val="14207DC0"/>
    <w:rsid w:val="14B932DA"/>
    <w:rsid w:val="150A66AF"/>
    <w:rsid w:val="154C1139"/>
    <w:rsid w:val="158C5B77"/>
    <w:rsid w:val="15B606DF"/>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860E69"/>
    <w:rsid w:val="1DAF458D"/>
    <w:rsid w:val="1E086ACE"/>
    <w:rsid w:val="1E62130A"/>
    <w:rsid w:val="1E97358B"/>
    <w:rsid w:val="1EAA4A5F"/>
    <w:rsid w:val="1EE869A7"/>
    <w:rsid w:val="1EEA3110"/>
    <w:rsid w:val="1FA15E62"/>
    <w:rsid w:val="1FED69B6"/>
    <w:rsid w:val="2064678E"/>
    <w:rsid w:val="20DC1AB9"/>
    <w:rsid w:val="20DD6197"/>
    <w:rsid w:val="212631E0"/>
    <w:rsid w:val="21A53757"/>
    <w:rsid w:val="221236C6"/>
    <w:rsid w:val="22D7662C"/>
    <w:rsid w:val="23252C90"/>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2F3231"/>
    <w:rsid w:val="343642F2"/>
    <w:rsid w:val="343F3010"/>
    <w:rsid w:val="345D0A00"/>
    <w:rsid w:val="34713BFD"/>
    <w:rsid w:val="34C13589"/>
    <w:rsid w:val="353369E3"/>
    <w:rsid w:val="35E00D72"/>
    <w:rsid w:val="3643152E"/>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0E54883"/>
    <w:rsid w:val="41431AD5"/>
    <w:rsid w:val="414B3C0F"/>
    <w:rsid w:val="417C1CE7"/>
    <w:rsid w:val="41900018"/>
    <w:rsid w:val="41944406"/>
    <w:rsid w:val="41CE128F"/>
    <w:rsid w:val="41DA6F12"/>
    <w:rsid w:val="42171FB1"/>
    <w:rsid w:val="42EA1CA2"/>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9E3EC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6600CA"/>
    <w:rsid w:val="5AB34579"/>
    <w:rsid w:val="5AFC6609"/>
    <w:rsid w:val="5B113480"/>
    <w:rsid w:val="5BD456CE"/>
    <w:rsid w:val="5C0D1F49"/>
    <w:rsid w:val="5CBB0CE2"/>
    <w:rsid w:val="5CC17177"/>
    <w:rsid w:val="5CF306BC"/>
    <w:rsid w:val="5D3F3D64"/>
    <w:rsid w:val="5D833043"/>
    <w:rsid w:val="5DD92690"/>
    <w:rsid w:val="5DDB1CFD"/>
    <w:rsid w:val="5E67010E"/>
    <w:rsid w:val="5E7E6D93"/>
    <w:rsid w:val="5EBE668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3A546B"/>
    <w:rsid w:val="6C4A2E5A"/>
    <w:rsid w:val="6C8138D0"/>
    <w:rsid w:val="6CEF0725"/>
    <w:rsid w:val="6D4B2604"/>
    <w:rsid w:val="6D8030E4"/>
    <w:rsid w:val="6E0E35C4"/>
    <w:rsid w:val="6E0F7A08"/>
    <w:rsid w:val="6E2927C7"/>
    <w:rsid w:val="6E3947F5"/>
    <w:rsid w:val="6E9C74ED"/>
    <w:rsid w:val="6EF72976"/>
    <w:rsid w:val="6F795A80"/>
    <w:rsid w:val="6F7C1D2E"/>
    <w:rsid w:val="6F8E0407"/>
    <w:rsid w:val="6FDD069F"/>
    <w:rsid w:val="702B4D16"/>
    <w:rsid w:val="70AA6621"/>
    <w:rsid w:val="70E55A50"/>
    <w:rsid w:val="7111480F"/>
    <w:rsid w:val="71261F49"/>
    <w:rsid w:val="712E6956"/>
    <w:rsid w:val="71473612"/>
    <w:rsid w:val="71504F32"/>
    <w:rsid w:val="7152309F"/>
    <w:rsid w:val="718F7F65"/>
    <w:rsid w:val="727B234E"/>
    <w:rsid w:val="72D068C7"/>
    <w:rsid w:val="72E42ED8"/>
    <w:rsid w:val="73081572"/>
    <w:rsid w:val="735F4CB9"/>
    <w:rsid w:val="73674C62"/>
    <w:rsid w:val="73845865"/>
    <w:rsid w:val="739B6D9E"/>
    <w:rsid w:val="73BC1D76"/>
    <w:rsid w:val="73FB6630"/>
    <w:rsid w:val="748C2E59"/>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5188</Words>
  <Characters>5760</Characters>
  <Lines>0</Lines>
  <Paragraphs>0</Paragraphs>
  <TotalTime>0</TotalTime>
  <ScaleCrop>false</ScaleCrop>
  <LinksUpToDate>false</LinksUpToDate>
  <CharactersWithSpaces>5781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2024-09-02T03:27:08Z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