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昌吉回族自治州国土资源执法监察支队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rPr>
          <w:rFonts w:ascii="黑体" w:hAnsi="黑体" w:eastAsia="黑体" w:cs="宋体"/>
          <w:bCs/>
          <w:kern w:val="0"/>
          <w:sz w:val="32"/>
          <w:szCs w:val="32"/>
        </w:rPr>
      </w:pPr>
      <w:bookmarkStart w:id="4" w:name="_Toc31238"/>
      <w:bookmarkStart w:id="5" w:name="_Toc2151"/>
      <w:r>
        <w:rPr>
          <w:rFonts w:ascii="仿宋_GB2312" w:eastAsia="仿宋_GB2312"/>
          <w:sz w:val="32"/>
          <w:szCs w:val="32"/>
        </w:rPr>
        <w:t>　</w:t>
      </w:r>
      <w:r>
        <w:rPr>
          <w:rFonts w:hint="eastAsia" w:ascii="仿宋_GB2312" w:eastAsia="仿宋_GB2312"/>
          <w:sz w:val="32"/>
          <w:szCs w:val="32"/>
          <w:lang w:val="en-US" w:eastAsia="zh-CN"/>
        </w:rPr>
        <w:t xml:space="preserve"> </w:t>
      </w:r>
      <w:r>
        <w:rPr>
          <w:rFonts w:ascii="仿宋_GB2312" w:eastAsia="仿宋_GB2312"/>
          <w:sz w:val="32"/>
          <w:szCs w:val="32"/>
        </w:rPr>
        <w:t>昌吉回族自治州国土资源执法监察支队，为自治区自然资源厅下属四级预算单位，参照公务员法管理的事业单位。实行垂直管理，统一履行昌吉州国土资源执法监察职能。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2、组织和实施对全州执行土地、矿产资源法律、法规、规章情况的巡查，及时发现和制止土地、矿产资源违法行为。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4、负责全州重大土地、矿产资源违法案件查处决定的督办。</w:t>
      </w:r>
      <w:r>
        <w:rPr>
          <w:rFonts w:ascii="仿宋_GB2312" w:eastAsia="仿宋_GB2312"/>
          <w:sz w:val="32"/>
          <w:szCs w:val="32"/>
        </w:rPr>
        <w:br w:type="textWrapping"/>
      </w:r>
      <w:r>
        <w:rPr>
          <w:rFonts w:ascii="仿宋_GB2312" w:eastAsia="仿宋_GB2312"/>
          <w:sz w:val="32"/>
          <w:szCs w:val="32"/>
        </w:rPr>
        <w:t>　　5、完成自治区国土资源执法监察总队和当地党委政府交办的其他工作</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昌吉回族自治州国土资源执法监察支队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p>
    <w:p>
      <w:pPr>
        <w:ind w:firstLine="640" w:firstLineChars="200"/>
        <w:rPr>
          <w:rFonts w:ascii="仿宋_GB2312" w:eastAsia="仿宋_GB2312"/>
          <w:sz w:val="32"/>
          <w:szCs w:val="32"/>
        </w:rPr>
      </w:pPr>
      <w:r>
        <w:rPr>
          <w:rFonts w:hint="eastAsia" w:ascii="仿宋_GB2312" w:hAnsi="黑体" w:eastAsia="仿宋_GB2312" w:cs="宋体"/>
          <w:bCs/>
          <w:kern w:val="0"/>
          <w:sz w:val="32"/>
          <w:szCs w:val="32"/>
        </w:rPr>
        <w:t>单位无下属预算单位，下设</w:t>
      </w:r>
      <w:r>
        <w:rPr>
          <w:rFonts w:hint="eastAsia" w:ascii="仿宋_GB2312" w:hAnsi="黑体" w:eastAsia="仿宋_GB2312" w:cs="宋体"/>
          <w:bCs/>
          <w:kern w:val="0"/>
          <w:sz w:val="32"/>
          <w:szCs w:val="32"/>
          <w:lang w:val="en-US" w:eastAsia="zh-CN"/>
        </w:rPr>
        <w:t>3</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val="en-US" w:eastAsia="zh-CN"/>
        </w:rPr>
        <w:t>科</w:t>
      </w:r>
      <w:r>
        <w:rPr>
          <w:rFonts w:hint="eastAsia" w:ascii="仿宋_GB2312" w:hAnsi="黑体" w:eastAsia="仿宋_GB2312" w:cs="宋体"/>
          <w:bCs/>
          <w:kern w:val="0"/>
          <w:sz w:val="32"/>
          <w:szCs w:val="32"/>
        </w:rPr>
        <w:t>室，分别是：</w:t>
      </w:r>
      <w:r>
        <w:rPr>
          <w:rFonts w:hint="eastAsia" w:ascii="仿宋_GB2312" w:hAnsi="黑体" w:eastAsia="仿宋_GB2312" w:cs="宋体"/>
          <w:bCs/>
          <w:kern w:val="0"/>
          <w:sz w:val="32"/>
          <w:szCs w:val="32"/>
          <w:lang w:val="en-US" w:eastAsia="zh-CN"/>
        </w:rPr>
        <w:t>办公室、土地执法监察科、矿产执法监察科</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374.04万元，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300.81万元，使用非财政拨款结余0.00万元，年初结转和结余73.23万元。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374.04万元，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347.74万元，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0.00万元，年末结转和结余26.30万元。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减少105.69万元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下降22.03%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w:t>
      </w:r>
      <w:r>
        <w:rPr>
          <w:rFonts w:hint="eastAsia" w:ascii="仿宋_GB2312" w:hAnsi="仿宋_GB2312" w:eastAsia="仿宋_GB2312" w:cs="仿宋_GB2312"/>
          <w:sz w:val="32"/>
          <w:szCs w:val="32"/>
          <w:lang w:val="en-US" w:eastAsia="zh-CN"/>
        </w:rPr>
        <w:t>人员变动，导致工资社保公积金等支出减少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300.81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300.65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0.15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本年支出347.74万元，其中：基本支出257.74万元，占74.12%；项目支出90.00万元，占25.88%；上缴上级支出0.00万元，占0.00%；经营支出0.00万元，占0.00%；对附属单位补助支出0.00万元，占0.00%。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300.65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300.65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300.65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300.65</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减少39.56万元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下降11.63%，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本年度</w:t>
      </w:r>
      <w:r>
        <w:rPr>
          <w:rFonts w:hint="eastAsia" w:ascii="仿宋_GB2312" w:hAnsi="仿宋_GB2312" w:eastAsia="仿宋_GB2312" w:cs="仿宋_GB2312"/>
          <w:sz w:val="32"/>
          <w:szCs w:val="32"/>
          <w:lang w:val="en-US" w:eastAsia="zh-CN"/>
        </w:rPr>
        <w:t>人员变动，导致工资社保公积金等支出减少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287.32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300.65</w:t>
      </w:r>
      <w:r>
        <w:rPr>
          <w:rFonts w:hint="eastAsia" w:ascii="仿宋_GB2312" w:eastAsia="仿宋_GB2312"/>
          <w:color w:val="auto"/>
          <w:spacing w:val="0"/>
          <w:sz w:val="32"/>
          <w:szCs w:val="32"/>
          <w:highlight w:val="none"/>
          <w:lang w:eastAsia="zh-CN"/>
        </w:rPr>
        <w:t>万元，预决算差异率4.64%，主要原因是：</w:t>
      </w:r>
      <w:r>
        <w:rPr>
          <w:rFonts w:hint="eastAsia" w:ascii="仿宋_GB2312" w:eastAsia="仿宋_GB2312"/>
          <w:color w:val="auto"/>
          <w:spacing w:val="0"/>
          <w:sz w:val="32"/>
          <w:szCs w:val="32"/>
          <w:highlight w:val="none"/>
          <w:lang w:val="en-US" w:eastAsia="zh-CN"/>
        </w:rPr>
        <w:t>本年度新增基础绩效等人员工资经费</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2023年度一般公共预算财政拨款支出300.65万元，占本年支出合计的</w:t>
      </w:r>
      <w:r>
        <w:rPr>
          <w:rFonts w:hint="eastAsia" w:ascii="仿宋_GB2312" w:eastAsia="仿宋_GB2312"/>
          <w:color w:val="auto"/>
          <w:spacing w:val="0"/>
          <w:sz w:val="32"/>
          <w:szCs w:val="32"/>
          <w:highlight w:val="none"/>
          <w:lang w:val="zh-CN" w:eastAsia="zh-CN"/>
        </w:rPr>
        <w:t>86.46%</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减少39.56万元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下降11.63%，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本年度</w:t>
      </w:r>
      <w:r>
        <w:rPr>
          <w:rFonts w:hint="eastAsia" w:ascii="仿宋_GB2312" w:hAnsi="仿宋_GB2312" w:eastAsia="仿宋_GB2312" w:cs="仿宋_GB2312"/>
          <w:sz w:val="32"/>
          <w:szCs w:val="32"/>
          <w:lang w:val="en-US" w:eastAsia="zh-CN"/>
        </w:rPr>
        <w:t>人员变动，导致工资社保公积金等支出减少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287.32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300.65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4.64%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本年度新增基础绩效等人员工资经费</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27.42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9.12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w:t>
      </w:r>
      <w:bookmarkStart w:id="48" w:name="_GoBack"/>
      <w:bookmarkEnd w:id="48"/>
      <w:r>
        <w:rPr>
          <w:rFonts w:hint="default" w:ascii="仿宋_GB2312" w:hAnsi="Times New Roman" w:eastAsia="仿宋_GB2312" w:cs="Times New Roman"/>
          <w:color w:val="auto"/>
          <w:spacing w:val="0"/>
          <w:kern w:val="2"/>
          <w:sz w:val="32"/>
          <w:szCs w:val="32"/>
          <w:highlight w:val="none"/>
          <w:lang w:val="zh-CN" w:eastAsia="zh-CN" w:bidi="ar-SA"/>
        </w:rPr>
        <w:t>生健康支出（类）</w:t>
      </w:r>
      <w:r>
        <w:rPr>
          <w:rFonts w:hint="eastAsia" w:ascii="仿宋_GB2312" w:hAnsi="Times New Roman" w:eastAsia="仿宋_GB2312" w:cs="Times New Roman"/>
          <w:color w:val="auto"/>
          <w:spacing w:val="0"/>
          <w:kern w:val="2"/>
          <w:sz w:val="32"/>
          <w:szCs w:val="32"/>
          <w:highlight w:val="none"/>
          <w:lang w:val="zh-CN" w:eastAsia="zh-CN" w:bidi="ar-SA"/>
        </w:rPr>
        <w:t>16.77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5.58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243.09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80.85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13.37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4.45</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1.卫生健康支出（类）行政事业单位医疗（款）行政单位医疗（项）:支出决算数为8.97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10.20%，主要原因是：</w:t>
      </w:r>
      <w:r>
        <w:rPr>
          <w:rFonts w:hint="eastAsia" w:eastAsia="仿宋_GB2312" w:cs="Times New Roman"/>
          <w:color w:val="auto"/>
          <w:kern w:val="2"/>
          <w:sz w:val="32"/>
          <w:szCs w:val="32"/>
          <w:highlight w:val="none"/>
          <w:lang w:val="en-US" w:eastAsia="zh-CN" w:bidi="ar-SA"/>
        </w:rPr>
        <w:t>人员变动，</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en-US" w:eastAsia="zh-CN" w:bidi="ar-SA"/>
        </w:rPr>
        <w:t>缴费比例下降，支出减少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2.卫生健康支出（类）行政事业单位医疗（款）公务员医疗补助（项）:支出决算数为7.80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0.36%，主要原因是：</w:t>
      </w:r>
      <w:r>
        <w:rPr>
          <w:rFonts w:hint="eastAsia" w:eastAsia="仿宋_GB2312" w:cs="Times New Roman"/>
          <w:color w:val="auto"/>
          <w:kern w:val="2"/>
          <w:sz w:val="32"/>
          <w:szCs w:val="32"/>
          <w:highlight w:val="none"/>
          <w:lang w:val="en-US" w:eastAsia="zh-CN" w:bidi="ar-SA"/>
        </w:rPr>
        <w:t>本年度人员工资总基数调高，支出增加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3.自然资源海洋气象等支出（类）自然资源事务（款）其他自然资源事务支出（项）:支出决算数为90.00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5.33%，主要原因是：</w:t>
      </w:r>
      <w:r>
        <w:rPr>
          <w:rFonts w:hint="eastAsia" w:eastAsia="仿宋_GB2312" w:cs="Times New Roman"/>
          <w:color w:val="auto"/>
          <w:kern w:val="2"/>
          <w:sz w:val="32"/>
          <w:szCs w:val="32"/>
          <w:highlight w:val="none"/>
          <w:lang w:val="en-US" w:eastAsia="zh-CN" w:bidi="ar-SA"/>
        </w:rPr>
        <w:t>本年度安全生产、卫片等专项执法工作较多，</w:t>
      </w:r>
      <w:r>
        <w:rPr>
          <w:rFonts w:hint="eastAsia" w:ascii="Times New Roman" w:hAnsi="Times New Roman" w:eastAsia="仿宋_GB2312" w:cs="Times New Roman"/>
          <w:color w:val="auto"/>
          <w:kern w:val="2"/>
          <w:sz w:val="32"/>
          <w:szCs w:val="32"/>
          <w:highlight w:val="none"/>
          <w:lang w:val="en-US" w:eastAsia="zh-CN" w:bidi="ar-SA"/>
        </w:rPr>
        <w:t>其他自然资源事务</w:t>
      </w:r>
      <w:r>
        <w:rPr>
          <w:rFonts w:hint="eastAsia" w:eastAsia="仿宋_GB2312" w:cs="Times New Roman"/>
          <w:color w:val="auto"/>
          <w:kern w:val="2"/>
          <w:sz w:val="32"/>
          <w:szCs w:val="32"/>
          <w:highlight w:val="none"/>
          <w:lang w:val="en-US" w:eastAsia="zh-CN" w:bidi="ar-SA"/>
        </w:rPr>
        <w:t>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4.自然资源海洋气象等支出（类）自然资源事务（款）行政运行（项）:支出决算数为153.09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36.90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19.42%，主要原因是：</w:t>
      </w:r>
      <w:r>
        <w:rPr>
          <w:rFonts w:hint="eastAsia" w:ascii="仿宋_GB2312" w:eastAsia="仿宋_GB2312"/>
          <w:color w:val="auto"/>
          <w:spacing w:val="0"/>
          <w:sz w:val="32"/>
          <w:szCs w:val="32"/>
          <w:highlight w:val="none"/>
          <w:lang w:val="en-US" w:eastAsia="zh-CN"/>
        </w:rPr>
        <w:t>本年度人员变动，支出较上年减少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5.住房保障支出（类）住房改革支出（款）住房公积金（项）:支出决算数为13.37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3.83%，主要原因是：</w:t>
      </w:r>
      <w:r>
        <w:rPr>
          <w:rFonts w:hint="eastAsia" w:eastAsia="仿宋_GB2312" w:cs="Times New Roman"/>
          <w:color w:val="auto"/>
          <w:kern w:val="2"/>
          <w:sz w:val="32"/>
          <w:szCs w:val="32"/>
          <w:highlight w:val="none"/>
          <w:lang w:val="en-US" w:eastAsia="zh-CN" w:bidi="ar-SA"/>
        </w:rPr>
        <w:t>本年度人员变动，</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缴费支出减少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6.社会保障和就业支出（类）行政事业单位养老支出（款）行政单位离退休（项）:支出决算数为9.59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34.17%，主要原因是：</w:t>
      </w:r>
      <w:r>
        <w:rPr>
          <w:rFonts w:hint="eastAsia" w:eastAsia="仿宋_GB2312" w:cs="Times New Roman"/>
          <w:color w:val="auto"/>
          <w:kern w:val="2"/>
          <w:sz w:val="32"/>
          <w:szCs w:val="32"/>
          <w:highlight w:val="none"/>
          <w:lang w:val="en-US" w:eastAsia="zh-CN" w:bidi="ar-SA"/>
        </w:rPr>
        <w:t>根据通知，退休人员不缴纳医疗费，支出减少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7.社会保障和就业支出（类）行政事业单位养老支出（款）机关事业单位基本养老保险缴费支出（项）:支出决算数为17.83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3.83%，主要原因是：</w:t>
      </w:r>
      <w:r>
        <w:rPr>
          <w:rFonts w:hint="eastAsia" w:eastAsia="仿宋_GB2312" w:cs="Times New Roman"/>
          <w:color w:val="auto"/>
          <w:kern w:val="2"/>
          <w:sz w:val="32"/>
          <w:szCs w:val="32"/>
          <w:highlight w:val="none"/>
          <w:lang w:val="en-US" w:eastAsia="zh-CN" w:bidi="ar-SA"/>
        </w:rPr>
        <w:t>本年度人员变动，</w:t>
      </w:r>
      <w:r>
        <w:rPr>
          <w:rFonts w:hint="eastAsia" w:ascii="Times New Roman" w:hAnsi="Times New Roman" w:eastAsia="仿宋_GB2312" w:cs="Times New Roman"/>
          <w:color w:val="auto"/>
          <w:kern w:val="2"/>
          <w:sz w:val="32"/>
          <w:szCs w:val="32"/>
          <w:highlight w:val="none"/>
          <w:lang w:val="en-US" w:eastAsia="zh-CN" w:bidi="ar-SA"/>
        </w:rPr>
        <w:t>基本养老保险</w:t>
      </w:r>
      <w:r>
        <w:rPr>
          <w:rFonts w:hint="eastAsia" w:eastAsia="仿宋_GB2312" w:cs="Times New Roman"/>
          <w:color w:val="auto"/>
          <w:kern w:val="2"/>
          <w:sz w:val="32"/>
          <w:szCs w:val="32"/>
          <w:highlight w:val="none"/>
          <w:lang w:val="en-US" w:eastAsia="zh-CN" w:bidi="ar-SA"/>
        </w:rPr>
        <w:t>缴费支出减少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210.65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192.97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基本工资、津贴补贴、奖金、机关事业单位基本养老保险缴费、职工基本医疗保险缴费、公务员医疗补助缴费、其他社会保障缴费、住房公积金、其他工资福利支出、退休费、奖励金、其他对个人和家庭的补助。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17.68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办公费、邮电费、取暖费、物业管理费、差旅费、维修（护）费、租赁费、工会经费、福利费、其他交通费用、其他商品和服务支出</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highlight w:val="none"/>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highlight w:val="none"/>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我单位车辆为执法执勤用车和其他用车</w:t>
      </w:r>
      <w:r>
        <w:rPr>
          <w:rFonts w:hint="eastAsia" w:ascii="仿宋_GB2312" w:eastAsia="仿宋_GB2312"/>
          <w:color w:val="auto"/>
          <w:sz w:val="32"/>
          <w:szCs w:val="32"/>
          <w:highlight w:val="none"/>
          <w:lang w:val="zh-CN" w:eastAsia="zh-CN"/>
        </w:rPr>
        <w:t>，不属于公务用车，使用其他交通费，支付燃油及维修费。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昌吉回族自治州国土资源执法监察支队（行政单位和参照公务员法管理事业单位）机关运行经费支出17.68万元，比上年减少6.34万元，下降26.41%，主要原因是：</w:t>
      </w:r>
      <w:r>
        <w:rPr>
          <w:rFonts w:hint="eastAsia" w:ascii="仿宋_GB2312" w:eastAsia="仿宋_GB2312"/>
          <w:sz w:val="32"/>
          <w:szCs w:val="32"/>
        </w:rPr>
        <w:t>机关</w:t>
      </w:r>
      <w:r>
        <w:rPr>
          <w:rFonts w:hint="eastAsia" w:ascii="仿宋_GB2312" w:eastAsia="仿宋_GB2312"/>
          <w:sz w:val="32"/>
          <w:szCs w:val="32"/>
          <w:lang w:val="en-US" w:eastAsia="zh-CN"/>
        </w:rPr>
        <w:t>厉行节约，</w:t>
      </w:r>
      <w:r>
        <w:rPr>
          <w:rFonts w:hint="eastAsia" w:ascii="仿宋_GB2312" w:eastAsia="仿宋_GB2312"/>
          <w:sz w:val="32"/>
          <w:szCs w:val="32"/>
        </w:rPr>
        <w:t>运行经费较上年减少</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314.46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屋333.98平方米，价值145.37万元。车辆4辆，价值69.39万元，其中：副部（省）级及以上领导用车0辆、主要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用车0辆、机要通信用车0辆、应急保障用车0辆、执法执勤用车2辆、特种专业技术用车0辆、离退休干部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用车0辆、其他用车2辆，其他用车主要是：</w:t>
      </w:r>
      <w:r>
        <w:rPr>
          <w:rFonts w:hint="eastAsia" w:eastAsia="仿宋_GB2312" w:cs="Times New Roman"/>
          <w:color w:val="auto"/>
          <w:sz w:val="32"/>
          <w:szCs w:val="32"/>
          <w:highlight w:val="none"/>
          <w:lang w:val="en-US" w:eastAsia="zh-CN"/>
        </w:rPr>
        <w:t>2辆</w:t>
      </w:r>
      <w:r>
        <w:rPr>
          <w:rFonts w:hint="eastAsia" w:ascii="仿宋_GB2312" w:eastAsia="仿宋_GB2312"/>
          <w:sz w:val="32"/>
          <w:szCs w:val="32"/>
        </w:rPr>
        <w:t>其他业务用车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1D4A23"/>
    <w:rsid w:val="043E5B56"/>
    <w:rsid w:val="04C04386"/>
    <w:rsid w:val="04FA68C4"/>
    <w:rsid w:val="053F5AE6"/>
    <w:rsid w:val="057C0B0F"/>
    <w:rsid w:val="05DA4DD8"/>
    <w:rsid w:val="05EF4B48"/>
    <w:rsid w:val="05F76ECA"/>
    <w:rsid w:val="061A1A12"/>
    <w:rsid w:val="06792773"/>
    <w:rsid w:val="07093795"/>
    <w:rsid w:val="07804730"/>
    <w:rsid w:val="079052BE"/>
    <w:rsid w:val="07BF1F0E"/>
    <w:rsid w:val="08145C21"/>
    <w:rsid w:val="08422688"/>
    <w:rsid w:val="085854ED"/>
    <w:rsid w:val="0879188F"/>
    <w:rsid w:val="08A0354D"/>
    <w:rsid w:val="08CD4C49"/>
    <w:rsid w:val="08CF45FA"/>
    <w:rsid w:val="09114954"/>
    <w:rsid w:val="095A5B83"/>
    <w:rsid w:val="096466E3"/>
    <w:rsid w:val="0968304D"/>
    <w:rsid w:val="09AF3D17"/>
    <w:rsid w:val="0A7809B7"/>
    <w:rsid w:val="0A7B4867"/>
    <w:rsid w:val="0A840954"/>
    <w:rsid w:val="0A9928ED"/>
    <w:rsid w:val="0B61769D"/>
    <w:rsid w:val="0B8C3ECC"/>
    <w:rsid w:val="0B9C639D"/>
    <w:rsid w:val="0BAA6E11"/>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0FB16C9B"/>
    <w:rsid w:val="105B0B5E"/>
    <w:rsid w:val="112E58D0"/>
    <w:rsid w:val="11621A1D"/>
    <w:rsid w:val="11731CAC"/>
    <w:rsid w:val="119500A0"/>
    <w:rsid w:val="119A0BD6"/>
    <w:rsid w:val="11C0733B"/>
    <w:rsid w:val="11D50D17"/>
    <w:rsid w:val="120E0809"/>
    <w:rsid w:val="127F665A"/>
    <w:rsid w:val="12F7068C"/>
    <w:rsid w:val="14207DC0"/>
    <w:rsid w:val="14765A5F"/>
    <w:rsid w:val="14B932DA"/>
    <w:rsid w:val="150A66AF"/>
    <w:rsid w:val="154C1139"/>
    <w:rsid w:val="157B56E6"/>
    <w:rsid w:val="158C5B77"/>
    <w:rsid w:val="160D1149"/>
    <w:rsid w:val="163563C0"/>
    <w:rsid w:val="164315EF"/>
    <w:rsid w:val="16557DFE"/>
    <w:rsid w:val="167268FB"/>
    <w:rsid w:val="16D50C50"/>
    <w:rsid w:val="16E120E1"/>
    <w:rsid w:val="16E675C7"/>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5A34E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726C33"/>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0D5F10"/>
    <w:rsid w:val="2F3F0A28"/>
    <w:rsid w:val="2F845295"/>
    <w:rsid w:val="2FBF7029"/>
    <w:rsid w:val="2FD0187F"/>
    <w:rsid w:val="2FD27414"/>
    <w:rsid w:val="2FFE4BB0"/>
    <w:rsid w:val="300E7B60"/>
    <w:rsid w:val="300F6E18"/>
    <w:rsid w:val="30321B34"/>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BF55B50"/>
    <w:rsid w:val="3C242659"/>
    <w:rsid w:val="3C96719C"/>
    <w:rsid w:val="3CA72BE8"/>
    <w:rsid w:val="3CF37F8C"/>
    <w:rsid w:val="3D137554"/>
    <w:rsid w:val="3D5275AC"/>
    <w:rsid w:val="3DCC2473"/>
    <w:rsid w:val="3DEB0883"/>
    <w:rsid w:val="3E2527BF"/>
    <w:rsid w:val="3E731662"/>
    <w:rsid w:val="3E8168DD"/>
    <w:rsid w:val="3E8A337B"/>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0C4293"/>
    <w:rsid w:val="48387FB0"/>
    <w:rsid w:val="483A6114"/>
    <w:rsid w:val="488727DB"/>
    <w:rsid w:val="48B82268"/>
    <w:rsid w:val="48C354B3"/>
    <w:rsid w:val="491D534C"/>
    <w:rsid w:val="493D58B5"/>
    <w:rsid w:val="494A7A04"/>
    <w:rsid w:val="4A0A26D2"/>
    <w:rsid w:val="4A2019A5"/>
    <w:rsid w:val="4A241A0B"/>
    <w:rsid w:val="4A7B2875"/>
    <w:rsid w:val="4A934476"/>
    <w:rsid w:val="4AAA220A"/>
    <w:rsid w:val="4AB623F9"/>
    <w:rsid w:val="4AE12E67"/>
    <w:rsid w:val="4B4C0111"/>
    <w:rsid w:val="4B8553A9"/>
    <w:rsid w:val="4BDB3730"/>
    <w:rsid w:val="4BF92728"/>
    <w:rsid w:val="4C200F7A"/>
    <w:rsid w:val="4CEE3180"/>
    <w:rsid w:val="4D0F4AF6"/>
    <w:rsid w:val="4D3C0EFE"/>
    <w:rsid w:val="4DF94F37"/>
    <w:rsid w:val="4E0A1DD5"/>
    <w:rsid w:val="4E3160E5"/>
    <w:rsid w:val="4E4D37AF"/>
    <w:rsid w:val="4E53128B"/>
    <w:rsid w:val="4E8C6496"/>
    <w:rsid w:val="4EE63838"/>
    <w:rsid w:val="4EFD18DE"/>
    <w:rsid w:val="4F144236"/>
    <w:rsid w:val="4F663C87"/>
    <w:rsid w:val="4F7E29A8"/>
    <w:rsid w:val="4F9E1FFC"/>
    <w:rsid w:val="50447CC2"/>
    <w:rsid w:val="50874A7C"/>
    <w:rsid w:val="50895EE7"/>
    <w:rsid w:val="50921B9D"/>
    <w:rsid w:val="50D16158"/>
    <w:rsid w:val="50DB5F45"/>
    <w:rsid w:val="51025EB1"/>
    <w:rsid w:val="51141503"/>
    <w:rsid w:val="51186679"/>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442C51"/>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4F561C"/>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7E224C8"/>
    <w:rsid w:val="683F0658"/>
    <w:rsid w:val="689C6793"/>
    <w:rsid w:val="68DB0208"/>
    <w:rsid w:val="68FB170C"/>
    <w:rsid w:val="691B3D98"/>
    <w:rsid w:val="693748F0"/>
    <w:rsid w:val="69825E60"/>
    <w:rsid w:val="69846A0E"/>
    <w:rsid w:val="69AD798C"/>
    <w:rsid w:val="69D005C0"/>
    <w:rsid w:val="69D80B96"/>
    <w:rsid w:val="6B267A35"/>
    <w:rsid w:val="6B68175F"/>
    <w:rsid w:val="6BFD799F"/>
    <w:rsid w:val="6C4A2E5A"/>
    <w:rsid w:val="6C8138D0"/>
    <w:rsid w:val="6CEF0725"/>
    <w:rsid w:val="6D4B2604"/>
    <w:rsid w:val="6D7C56B7"/>
    <w:rsid w:val="6D8030E4"/>
    <w:rsid w:val="6E0E35C4"/>
    <w:rsid w:val="6E0F7A08"/>
    <w:rsid w:val="6E3947F5"/>
    <w:rsid w:val="6E9C74ED"/>
    <w:rsid w:val="6EF72976"/>
    <w:rsid w:val="6F795A80"/>
    <w:rsid w:val="6F7C1D2E"/>
    <w:rsid w:val="6F8E0407"/>
    <w:rsid w:val="6FD5402F"/>
    <w:rsid w:val="6FDD069F"/>
    <w:rsid w:val="702B4D16"/>
    <w:rsid w:val="70AA6621"/>
    <w:rsid w:val="7111480F"/>
    <w:rsid w:val="71261F49"/>
    <w:rsid w:val="712E6956"/>
    <w:rsid w:val="71473612"/>
    <w:rsid w:val="71504F32"/>
    <w:rsid w:val="7152309F"/>
    <w:rsid w:val="718F7F65"/>
    <w:rsid w:val="719D730E"/>
    <w:rsid w:val="727B234E"/>
    <w:rsid w:val="72D068C7"/>
    <w:rsid w:val="72E42ED8"/>
    <w:rsid w:val="735F4CB9"/>
    <w:rsid w:val="73674C62"/>
    <w:rsid w:val="73845865"/>
    <w:rsid w:val="739B6D9E"/>
    <w:rsid w:val="73BC1D76"/>
    <w:rsid w:val="73D90843"/>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66054A"/>
    <w:rsid w:val="776D7585"/>
    <w:rsid w:val="77A262E1"/>
    <w:rsid w:val="77B13C33"/>
    <w:rsid w:val="77ED6F44"/>
    <w:rsid w:val="77F45548"/>
    <w:rsid w:val="784E7CA6"/>
    <w:rsid w:val="78574801"/>
    <w:rsid w:val="7873527F"/>
    <w:rsid w:val="788E40CB"/>
    <w:rsid w:val="78B4327D"/>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5226</Words>
  <Characters>5816</Characters>
  <Lines>0</Lines>
  <Paragraphs>0</Paragraphs>
  <TotalTime>0</TotalTime>
  <ScaleCrop>false</ScaleCrop>
  <LinksUpToDate>false</LinksUpToDate>
  <CharactersWithSpaces>5839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2024-09-07T16:18:15Z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