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C5475F">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5C2AE08F">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70F060AA">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昌吉市国土资源执法监察大队</w:t>
      </w:r>
    </w:p>
    <w:p w14:paraId="3A5FF648">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14:paraId="13E898D0">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5967514F">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41AEC41C">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69AFBF0D">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7237A95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7B1B37C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31938E6C">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6EE75A2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0A051AC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73D5B3A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4A9CC2E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295B82F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60AE941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26450EF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14B1C4A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79C4007F">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0035E4D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7047D861">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1DC24BE2">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0ABA1AF8">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0297906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691755F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51468AF8">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7B351569">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2F7D5B0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58BE60E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38EF29E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6483CC8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1CDE97D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3C466DC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37745A7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2850834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6DB5388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5BDC1F40">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6306E303">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3F9039A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5D11ECA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14:paraId="5E58EC0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sz w:val="32"/>
          <w:szCs w:val="32"/>
        </w:rPr>
      </w:pPr>
      <w:bookmarkStart w:id="4" w:name="_Toc31238"/>
      <w:bookmarkStart w:id="5" w:name="_Toc2151"/>
      <w:r>
        <w:rPr>
          <w:rFonts w:hint="eastAsia" w:ascii="仿宋_GB2312" w:eastAsia="仿宋_GB2312"/>
          <w:sz w:val="32"/>
          <w:szCs w:val="32"/>
          <w:lang w:eastAsia="zh-CN"/>
        </w:rPr>
        <w:t>昌吉</w:t>
      </w:r>
      <w:r>
        <w:rPr>
          <w:rFonts w:ascii="仿宋_GB2312" w:eastAsia="仿宋_GB2312"/>
          <w:sz w:val="32"/>
          <w:szCs w:val="32"/>
        </w:rPr>
        <w:t>市国土资源执法监察大队，为自治区自然资源厅下属四级预算单位，参照公务员法管理的事业单位。实行垂直管理，统一履行</w:t>
      </w:r>
      <w:r>
        <w:rPr>
          <w:rFonts w:hint="eastAsia" w:ascii="仿宋_GB2312" w:eastAsia="仿宋_GB2312"/>
          <w:sz w:val="32"/>
          <w:szCs w:val="32"/>
          <w:lang w:eastAsia="zh-CN"/>
        </w:rPr>
        <w:t>昌吉</w:t>
      </w:r>
      <w:r>
        <w:rPr>
          <w:rFonts w:ascii="仿宋_GB2312" w:eastAsia="仿宋_GB2312"/>
          <w:sz w:val="32"/>
          <w:szCs w:val="32"/>
        </w:rPr>
        <w:t>市区域内国土资源执法监察职能。</w:t>
      </w:r>
      <w:r>
        <w:rPr>
          <w:rFonts w:ascii="仿宋_GB2312" w:eastAsia="仿宋_GB2312"/>
          <w:sz w:val="32"/>
          <w:szCs w:val="32"/>
        </w:rPr>
        <w:br w:type="textWrapping"/>
      </w:r>
      <w:r>
        <w:rPr>
          <w:rFonts w:ascii="仿宋_GB2312" w:eastAsia="仿宋_GB2312"/>
          <w:sz w:val="32"/>
          <w:szCs w:val="32"/>
        </w:rPr>
        <w:t>　　1、宣传和贯彻执行国家、自治区有关土地、矿产资源的法律、法规、规章和政策。</w:t>
      </w:r>
      <w:r>
        <w:rPr>
          <w:rFonts w:ascii="仿宋_GB2312" w:eastAsia="仿宋_GB2312"/>
          <w:sz w:val="32"/>
          <w:szCs w:val="32"/>
        </w:rPr>
        <w:br w:type="textWrapping"/>
      </w:r>
      <w:r>
        <w:rPr>
          <w:rFonts w:ascii="仿宋_GB2312" w:eastAsia="仿宋_GB2312"/>
          <w:sz w:val="32"/>
          <w:szCs w:val="32"/>
        </w:rPr>
        <w:t>　　2、组织和实施对全市执行土地、矿产资源法律、法规、规章情况的巡查，及时发现和制止土地、矿产资源违法行为。</w:t>
      </w:r>
      <w:r>
        <w:rPr>
          <w:rFonts w:ascii="仿宋_GB2312" w:eastAsia="仿宋_GB2312"/>
          <w:sz w:val="32"/>
          <w:szCs w:val="32"/>
        </w:rPr>
        <w:br w:type="textWrapping"/>
      </w:r>
      <w:r>
        <w:rPr>
          <w:rFonts w:ascii="仿宋_GB2312" w:eastAsia="仿宋_GB2312"/>
          <w:sz w:val="32"/>
          <w:szCs w:val="32"/>
        </w:rPr>
        <w:t>　　3、依法组织和实施</w:t>
      </w:r>
      <w:r>
        <w:rPr>
          <w:rFonts w:hint="eastAsia" w:ascii="仿宋_GB2312" w:eastAsia="仿宋_GB2312"/>
          <w:sz w:val="32"/>
          <w:szCs w:val="32"/>
          <w:lang w:eastAsia="zh-CN"/>
        </w:rPr>
        <w:t>昌吉</w:t>
      </w:r>
      <w:r>
        <w:rPr>
          <w:rFonts w:ascii="仿宋_GB2312" w:eastAsia="仿宋_GB2312"/>
          <w:sz w:val="32"/>
          <w:szCs w:val="32"/>
        </w:rPr>
        <w:t>市重大土地、矿产资源违法案件的调查、取证、现场勘验工作，并进行查处。</w:t>
      </w:r>
      <w:r>
        <w:rPr>
          <w:rFonts w:ascii="仿宋_GB2312" w:eastAsia="仿宋_GB2312"/>
          <w:sz w:val="32"/>
          <w:szCs w:val="32"/>
        </w:rPr>
        <w:br w:type="textWrapping"/>
      </w:r>
      <w:r>
        <w:rPr>
          <w:rFonts w:ascii="仿宋_GB2312" w:eastAsia="仿宋_GB2312"/>
          <w:sz w:val="32"/>
          <w:szCs w:val="32"/>
        </w:rPr>
        <w:t>　　4、负责</w:t>
      </w:r>
      <w:r>
        <w:rPr>
          <w:rFonts w:hint="eastAsia" w:ascii="仿宋_GB2312" w:eastAsia="仿宋_GB2312"/>
          <w:sz w:val="32"/>
          <w:szCs w:val="32"/>
          <w:lang w:eastAsia="zh-CN"/>
        </w:rPr>
        <w:t>昌吉</w:t>
      </w:r>
      <w:r>
        <w:rPr>
          <w:rFonts w:ascii="仿宋_GB2312" w:eastAsia="仿宋_GB2312"/>
          <w:sz w:val="32"/>
          <w:szCs w:val="32"/>
        </w:rPr>
        <w:t>市重大土地、矿产资源违法案件查处决定的督办。</w:t>
      </w:r>
      <w:r>
        <w:rPr>
          <w:rFonts w:ascii="仿宋_GB2312" w:eastAsia="仿宋_GB2312"/>
          <w:sz w:val="32"/>
          <w:szCs w:val="32"/>
        </w:rPr>
        <w:br w:type="textWrapping"/>
      </w:r>
      <w:r>
        <w:rPr>
          <w:rFonts w:ascii="仿宋_GB2312" w:eastAsia="仿宋_GB2312"/>
          <w:sz w:val="32"/>
          <w:szCs w:val="32"/>
        </w:rPr>
        <w:t>　　5、完成自治区国土资源执法监察总队、支队和当地党委政府交办的其他工作</w:t>
      </w:r>
      <w:r>
        <w:rPr>
          <w:rFonts w:hint="eastAsia" w:ascii="仿宋_GB2312" w:eastAsia="仿宋_GB2312"/>
          <w:sz w:val="32"/>
          <w:szCs w:val="32"/>
        </w:rPr>
        <w:t>。</w:t>
      </w:r>
    </w:p>
    <w:p w14:paraId="1066C1C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50C0868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昌吉市国土资源执法监察大队</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9</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8</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1</w:t>
      </w:r>
      <w:r>
        <w:rPr>
          <w:rFonts w:hint="eastAsia" w:ascii="仿宋_GB2312" w:eastAsia="仿宋_GB2312"/>
          <w:color w:val="auto"/>
          <w:sz w:val="32"/>
          <w:szCs w:val="32"/>
          <w:highlight w:val="none"/>
        </w:rPr>
        <w:t>人。</w:t>
      </w:r>
    </w:p>
    <w:p w14:paraId="594618BA">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color w:val="auto"/>
          <w:kern w:val="0"/>
          <w:sz w:val="32"/>
          <w:szCs w:val="32"/>
          <w:highlight w:val="none"/>
        </w:rPr>
        <w:t>单位无下属预算单位，下设</w:t>
      </w:r>
      <w:r>
        <w:rPr>
          <w:rFonts w:hint="eastAsia" w:ascii="仿宋_GB2312" w:eastAsia="仿宋_GB2312"/>
          <w:color w:val="auto"/>
          <w:sz w:val="32"/>
          <w:szCs w:val="32"/>
          <w:highlight w:val="none"/>
          <w:lang w:val="en-US" w:eastAsia="zh-CN"/>
        </w:rPr>
        <w:t>1</w:t>
      </w:r>
      <w:r>
        <w:rPr>
          <w:rFonts w:hint="eastAsia" w:ascii="仿宋_GB2312" w:hAnsi="黑体" w:eastAsia="仿宋_GB2312" w:cs="宋体"/>
          <w:bCs/>
          <w:color w:val="auto"/>
          <w:kern w:val="0"/>
          <w:sz w:val="32"/>
          <w:szCs w:val="32"/>
          <w:highlight w:val="none"/>
        </w:rPr>
        <w:t>个</w:t>
      </w:r>
      <w:r>
        <w:rPr>
          <w:rFonts w:hint="eastAsia" w:ascii="仿宋_GB2312" w:hAnsi="黑体" w:eastAsia="仿宋_GB2312" w:cs="宋体"/>
          <w:bCs/>
          <w:color w:val="auto"/>
          <w:kern w:val="0"/>
          <w:sz w:val="32"/>
          <w:szCs w:val="32"/>
          <w:highlight w:val="none"/>
          <w:lang w:eastAsia="zh-CN"/>
        </w:rPr>
        <w:t>科</w:t>
      </w:r>
      <w:r>
        <w:rPr>
          <w:rFonts w:hint="eastAsia" w:ascii="仿宋_GB2312" w:hAnsi="黑体" w:eastAsia="仿宋_GB2312" w:cs="宋体"/>
          <w:bCs/>
          <w:color w:val="auto"/>
          <w:kern w:val="0"/>
          <w:sz w:val="32"/>
          <w:szCs w:val="32"/>
          <w:highlight w:val="none"/>
        </w:rPr>
        <w:t>室，分别是：</w:t>
      </w:r>
      <w:r>
        <w:rPr>
          <w:rFonts w:hint="eastAsia" w:ascii="仿宋_GB2312" w:hAnsi="宋体" w:eastAsia="仿宋_GB2312" w:cs="宋体"/>
          <w:color w:val="auto"/>
          <w:kern w:val="0"/>
          <w:sz w:val="32"/>
          <w:szCs w:val="32"/>
          <w:highlight w:val="none"/>
          <w:lang w:eastAsia="zh-CN"/>
        </w:rPr>
        <w:t>综合办公室</w:t>
      </w:r>
      <w:r>
        <w:rPr>
          <w:rFonts w:hint="eastAsia" w:ascii="仿宋_GB2312" w:hAnsi="宋体" w:eastAsia="仿宋_GB2312" w:cs="宋体"/>
          <w:color w:val="auto"/>
          <w:kern w:val="0"/>
          <w:sz w:val="32"/>
          <w:szCs w:val="32"/>
          <w:highlight w:val="none"/>
        </w:rPr>
        <w:t>。</w:t>
      </w:r>
    </w:p>
    <w:p w14:paraId="25C61C4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1DF13DB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14:paraId="1E78F75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190.67万元，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190.63万元，使用非财政拨款结余0.00万元，年初结转和结余0.05万元。</w:t>
      </w:r>
    </w:p>
    <w:p w14:paraId="6EBF283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190.67万元，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183.37万元，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0.00万元，年末结转和结余7.30万元。</w:t>
      </w:r>
    </w:p>
    <w:p w14:paraId="61444444">
      <w:pPr>
        <w:ind w:firstLine="640" w:firstLineChars="200"/>
        <w:jc w:val="left"/>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增加17.93万元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增长10.38%</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highlight w:val="none"/>
        </w:rPr>
        <w:t>本年度</w:t>
      </w:r>
      <w:r>
        <w:rPr>
          <w:rFonts w:hint="eastAsia" w:ascii="仿宋_GB2312" w:eastAsia="仿宋_GB2312"/>
          <w:sz w:val="32"/>
          <w:szCs w:val="32"/>
        </w:rPr>
        <w:t>新增基础绩效</w:t>
      </w:r>
      <w:r>
        <w:rPr>
          <w:rFonts w:hint="eastAsia" w:ascii="仿宋_GB2312" w:eastAsia="仿宋_GB2312"/>
          <w:sz w:val="32"/>
          <w:szCs w:val="32"/>
          <w:lang w:val="en-US" w:eastAsia="zh-CN"/>
        </w:rPr>
        <w:t>等</w:t>
      </w:r>
      <w:r>
        <w:rPr>
          <w:rFonts w:hint="eastAsia" w:ascii="仿宋_GB2312" w:eastAsia="仿宋_GB2312"/>
          <w:sz w:val="32"/>
          <w:szCs w:val="32"/>
        </w:rPr>
        <w:t>工资福利支出增加。</w:t>
      </w:r>
    </w:p>
    <w:p w14:paraId="69FD074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548102D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190.63</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190.51</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99.94</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0.11</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0.06</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14:paraId="62F7A79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14:paraId="0C2C899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本年支出183.37万元，其中：基本支出150.51万元，占82.08%；项目支出32.86万元，占17.92%；上缴上级支出0.00万元，占0.00%；经营支出0.00万元，占0.00%；对附属单位补助支出0.00万元，占0.00%。</w:t>
      </w:r>
    </w:p>
    <w:p w14:paraId="2628A11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301C085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190.51</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190.51</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190.51</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7.14</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183.37</w:t>
      </w:r>
      <w:r>
        <w:rPr>
          <w:rFonts w:hint="eastAsia" w:ascii="仿宋_GB2312" w:eastAsia="仿宋_GB2312"/>
          <w:color w:val="auto"/>
          <w:spacing w:val="0"/>
          <w:sz w:val="32"/>
          <w:szCs w:val="32"/>
          <w:highlight w:val="none"/>
          <w:lang w:eastAsia="zh-CN"/>
        </w:rPr>
        <w:t>万元。</w:t>
      </w:r>
    </w:p>
    <w:p w14:paraId="2FCFF2A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增加19.81万元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增长11.61%，</w:t>
      </w:r>
      <w:r>
        <w:rPr>
          <w:rFonts w:hint="eastAsia" w:ascii="仿宋_GB2312" w:eastAsia="仿宋_GB2312"/>
          <w:color w:val="auto"/>
          <w:spacing w:val="0"/>
          <w:sz w:val="32"/>
          <w:szCs w:val="32"/>
          <w:highlight w:val="none"/>
          <w:lang w:eastAsia="zh-CN"/>
        </w:rPr>
        <w:t>主要原因是：本年度人员调资追加经费。与年初预算相比，年初预算数</w:t>
      </w:r>
      <w:r>
        <w:rPr>
          <w:rFonts w:hint="eastAsia" w:ascii="仿宋_GB2312" w:eastAsia="仿宋_GB2312"/>
          <w:color w:val="auto"/>
          <w:spacing w:val="0"/>
          <w:sz w:val="32"/>
          <w:szCs w:val="32"/>
          <w:highlight w:val="none"/>
          <w:lang w:val="zh-CN" w:eastAsia="zh-CN"/>
        </w:rPr>
        <w:t>176.47</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190.51</w:t>
      </w:r>
      <w:r>
        <w:rPr>
          <w:rFonts w:hint="eastAsia" w:ascii="仿宋_GB2312" w:eastAsia="仿宋_GB2312"/>
          <w:color w:val="auto"/>
          <w:spacing w:val="0"/>
          <w:sz w:val="32"/>
          <w:szCs w:val="32"/>
          <w:highlight w:val="none"/>
          <w:lang w:eastAsia="zh-CN"/>
        </w:rPr>
        <w:t>万元，预决算差异率7.96%，主要原因是：本年度人员调资追加经费。</w:t>
      </w:r>
    </w:p>
    <w:p w14:paraId="415AE40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5C1E79A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236F565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2023年度一般公共预算财政拨款支出183.37万元，占本年支出合计的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增加12.67万元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增长7.42%，</w:t>
      </w:r>
      <w:r>
        <w:rPr>
          <w:rFonts w:hint="eastAsia" w:ascii="仿宋_GB2312" w:eastAsia="仿宋_GB2312"/>
          <w:color w:val="auto"/>
          <w:spacing w:val="0"/>
          <w:sz w:val="32"/>
          <w:szCs w:val="32"/>
          <w:highlight w:val="none"/>
          <w:lang w:eastAsia="zh-CN"/>
        </w:rPr>
        <w:t>主要原因是：本年度人员调资追加经费。与年初预算相比，年初预算数</w:t>
      </w:r>
      <w:r>
        <w:rPr>
          <w:rFonts w:hint="eastAsia" w:ascii="仿宋_GB2312" w:eastAsia="仿宋_GB2312"/>
          <w:color w:val="auto"/>
          <w:spacing w:val="0"/>
          <w:sz w:val="32"/>
          <w:szCs w:val="32"/>
          <w:highlight w:val="none"/>
          <w:lang w:val="zh-CN" w:eastAsia="zh-CN"/>
        </w:rPr>
        <w:t>176.47</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183.37</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3.91%</w:t>
      </w:r>
      <w:r>
        <w:rPr>
          <w:rFonts w:hint="eastAsia" w:ascii="仿宋_GB2312" w:eastAsia="仿宋_GB2312"/>
          <w:color w:val="auto"/>
          <w:spacing w:val="0"/>
          <w:sz w:val="32"/>
          <w:szCs w:val="32"/>
          <w:highlight w:val="none"/>
          <w:lang w:eastAsia="zh-CN"/>
        </w:rPr>
        <w:t>，主要原因是：本年度人员调资追加经费。</w:t>
      </w:r>
    </w:p>
    <w:p w14:paraId="620A79B2">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39084183">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15.51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8.46</w:t>
      </w:r>
      <w:r>
        <w:rPr>
          <w:rFonts w:hint="default" w:ascii="仿宋_GB2312" w:hAnsi="Times New Roman" w:eastAsia="仿宋_GB2312" w:cs="Times New Roman"/>
          <w:color w:val="auto"/>
          <w:spacing w:val="0"/>
          <w:kern w:val="2"/>
          <w:sz w:val="32"/>
          <w:szCs w:val="32"/>
          <w:highlight w:val="none"/>
          <w:lang w:val="zh-CN" w:eastAsia="zh-CN" w:bidi="ar-SA"/>
        </w:rPr>
        <w:t>%；</w:t>
      </w:r>
    </w:p>
    <w:p w14:paraId="6052C786">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12.74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6.95</w:t>
      </w:r>
      <w:r>
        <w:rPr>
          <w:rFonts w:hint="default" w:ascii="仿宋_GB2312" w:hAnsi="Times New Roman" w:eastAsia="仿宋_GB2312" w:cs="Times New Roman"/>
          <w:color w:val="auto"/>
          <w:spacing w:val="0"/>
          <w:kern w:val="2"/>
          <w:sz w:val="32"/>
          <w:szCs w:val="32"/>
          <w:highlight w:val="none"/>
          <w:lang w:val="zh-CN" w:eastAsia="zh-CN" w:bidi="ar-SA"/>
        </w:rPr>
        <w:t>%；</w:t>
      </w:r>
    </w:p>
    <w:p w14:paraId="545F12C9">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144.96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79.05</w:t>
      </w:r>
      <w:r>
        <w:rPr>
          <w:rFonts w:hint="default" w:ascii="仿宋_GB2312" w:hAnsi="Times New Roman" w:eastAsia="仿宋_GB2312" w:cs="Times New Roman"/>
          <w:color w:val="auto"/>
          <w:spacing w:val="0"/>
          <w:kern w:val="2"/>
          <w:sz w:val="32"/>
          <w:szCs w:val="32"/>
          <w:highlight w:val="none"/>
          <w:lang w:val="zh-CN" w:eastAsia="zh-CN" w:bidi="ar-SA"/>
        </w:rPr>
        <w:t>%；</w:t>
      </w:r>
    </w:p>
    <w:p w14:paraId="0307E448">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10.16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5.54</w:t>
      </w:r>
      <w:r>
        <w:rPr>
          <w:rFonts w:hint="default" w:ascii="仿宋_GB2312" w:hAnsi="Times New Roman" w:eastAsia="仿宋_GB2312" w:cs="Times New Roman"/>
          <w:color w:val="auto"/>
          <w:spacing w:val="0"/>
          <w:kern w:val="2"/>
          <w:sz w:val="32"/>
          <w:szCs w:val="32"/>
          <w:highlight w:val="none"/>
          <w:lang w:val="zh-CN" w:eastAsia="zh-CN" w:bidi="ar-SA"/>
        </w:rPr>
        <w:t>%</w:t>
      </w:r>
      <w:r>
        <w:rPr>
          <w:rFonts w:hint="eastAsia" w:ascii="仿宋_GB2312" w:eastAsia="仿宋_GB2312" w:cs="Times New Roman"/>
          <w:color w:val="auto"/>
          <w:spacing w:val="0"/>
          <w:kern w:val="2"/>
          <w:sz w:val="32"/>
          <w:szCs w:val="32"/>
          <w:highlight w:val="none"/>
          <w:lang w:val="zh-CN" w:eastAsia="zh-CN" w:bidi="ar-SA"/>
        </w:rPr>
        <w:t>。</w:t>
      </w:r>
    </w:p>
    <w:p w14:paraId="23B936AF">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059468AF">
      <w:pPr>
        <w:ind w:firstLine="640" w:firstLineChars="200"/>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1.卫生健康支出（类）行政事业单位医疗（款）行政单位医疗（项）:支出决算数为6.81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2.28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50.42%，主要原因是：</w:t>
      </w:r>
      <w:r>
        <w:rPr>
          <w:rFonts w:hint="eastAsia" w:eastAsia="仿宋_GB2312" w:cs="Times New Roman"/>
          <w:color w:val="auto"/>
          <w:kern w:val="2"/>
          <w:sz w:val="32"/>
          <w:szCs w:val="32"/>
          <w:highlight w:val="none"/>
          <w:lang w:val="en-US" w:eastAsia="zh-CN" w:bidi="ar-SA"/>
        </w:rPr>
        <w:t>本年度人员工资基数调高，缴费支出增加。</w:t>
      </w:r>
    </w:p>
    <w:p w14:paraId="0F34F62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2.卫生健康支出（类）行政事业单位医疗（款）公务员医疗补助（项）:支出决算数为5.93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2.41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68.33%，主要原因是：</w:t>
      </w:r>
      <w:r>
        <w:rPr>
          <w:rFonts w:hint="eastAsia" w:eastAsia="仿宋_GB2312" w:cs="Times New Roman"/>
          <w:color w:val="auto"/>
          <w:kern w:val="2"/>
          <w:sz w:val="32"/>
          <w:szCs w:val="32"/>
          <w:highlight w:val="none"/>
          <w:lang w:val="zh-CN" w:eastAsia="zh-CN" w:bidi="ar-SA"/>
        </w:rPr>
        <w:t>本年度人员工资基数调高，支出增加。</w:t>
      </w:r>
    </w:p>
    <w:p w14:paraId="683ACEB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3.自然资源海洋气象等支出（类）自然资源事务（款）其他自然资源事务支出（项）:支出决算数为32.86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18.62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36.17%，主要原因是：</w:t>
      </w:r>
      <w:r>
        <w:rPr>
          <w:rFonts w:hint="eastAsia" w:eastAsia="仿宋_GB2312" w:cs="Times New Roman"/>
          <w:color w:val="auto"/>
          <w:kern w:val="2"/>
          <w:sz w:val="32"/>
          <w:szCs w:val="32"/>
          <w:highlight w:val="none"/>
          <w:lang w:val="zh-CN" w:eastAsia="zh-CN" w:bidi="ar-SA"/>
        </w:rPr>
        <w:t>本年度安全生产、卫片等专项执法工作中厉行节约，执法办案支出减少。</w:t>
      </w:r>
    </w:p>
    <w:p w14:paraId="443B161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4.自然资源海洋气象等支出（类）自然资源事务（款）行政运行（项）:支出决算数为112.10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18.32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19.54%，主要原因是：</w:t>
      </w:r>
      <w:r>
        <w:rPr>
          <w:rFonts w:hint="eastAsia" w:eastAsia="仿宋_GB2312" w:cs="Times New Roman"/>
          <w:color w:val="auto"/>
          <w:kern w:val="2"/>
          <w:sz w:val="32"/>
          <w:szCs w:val="32"/>
          <w:highlight w:val="none"/>
          <w:lang w:val="en-US" w:eastAsia="zh-CN" w:bidi="ar-SA"/>
        </w:rPr>
        <w:t>本年度追加新增基础绩效</w:t>
      </w:r>
      <w:r>
        <w:rPr>
          <w:rFonts w:hint="eastAsia" w:ascii="仿宋_GB2312" w:eastAsia="仿宋_GB2312"/>
          <w:sz w:val="32"/>
          <w:szCs w:val="32"/>
          <w:lang w:eastAsia="zh-CN"/>
        </w:rPr>
        <w:t>等人员工资经费</w:t>
      </w:r>
      <w:r>
        <w:rPr>
          <w:rFonts w:hint="eastAsia" w:eastAsia="仿宋_GB2312" w:cs="Times New Roman"/>
          <w:color w:val="auto"/>
          <w:kern w:val="2"/>
          <w:sz w:val="32"/>
          <w:szCs w:val="32"/>
          <w:highlight w:val="none"/>
          <w:lang w:val="zh-CN" w:eastAsia="zh-CN" w:bidi="ar-SA"/>
        </w:rPr>
        <w:t>。</w:t>
      </w:r>
    </w:p>
    <w:p w14:paraId="3EF3877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5.住房保障支出（类）住房改革支出（款）住房公积金（项）:支出决算数为10.16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3.88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61.68%，主要原因是：</w:t>
      </w:r>
      <w:r>
        <w:rPr>
          <w:rFonts w:hint="eastAsia" w:eastAsia="仿宋_GB2312" w:cs="Times New Roman"/>
          <w:color w:val="auto"/>
          <w:kern w:val="2"/>
          <w:sz w:val="32"/>
          <w:szCs w:val="32"/>
          <w:highlight w:val="none"/>
          <w:lang w:val="en-US" w:eastAsia="zh-CN" w:bidi="ar-SA"/>
        </w:rPr>
        <w:t>本年度</w:t>
      </w:r>
      <w:r>
        <w:rPr>
          <w:rFonts w:hint="eastAsia" w:ascii="仿宋_GB2312" w:eastAsia="仿宋_GB2312"/>
          <w:sz w:val="32"/>
          <w:szCs w:val="32"/>
        </w:rPr>
        <w:t>人员</w:t>
      </w:r>
      <w:r>
        <w:rPr>
          <w:rFonts w:hint="eastAsia" w:ascii="仿宋_GB2312" w:eastAsia="仿宋_GB2312"/>
          <w:sz w:val="32"/>
          <w:szCs w:val="32"/>
          <w:lang w:eastAsia="zh-CN"/>
        </w:rPr>
        <w:t>工资基数调高</w:t>
      </w:r>
      <w:r>
        <w:rPr>
          <w:rFonts w:hint="eastAsia" w:ascii="仿宋_GB2312" w:eastAsia="仿宋_GB2312"/>
          <w:sz w:val="32"/>
          <w:szCs w:val="32"/>
        </w:rPr>
        <w:t>，缴费支出</w:t>
      </w:r>
      <w:r>
        <w:rPr>
          <w:rFonts w:hint="eastAsia" w:ascii="仿宋_GB2312" w:eastAsia="仿宋_GB2312"/>
          <w:sz w:val="32"/>
          <w:szCs w:val="32"/>
          <w:lang w:eastAsia="zh-CN"/>
        </w:rPr>
        <w:t>增加</w:t>
      </w:r>
      <w:r>
        <w:rPr>
          <w:rFonts w:hint="eastAsia" w:eastAsia="仿宋_GB2312" w:cs="Times New Roman"/>
          <w:color w:val="auto"/>
          <w:kern w:val="2"/>
          <w:sz w:val="32"/>
          <w:szCs w:val="32"/>
          <w:highlight w:val="none"/>
          <w:lang w:val="zh-CN" w:eastAsia="zh-CN" w:bidi="ar-SA"/>
        </w:rPr>
        <w:t>。</w:t>
      </w:r>
    </w:p>
    <w:p w14:paraId="7577D11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6.社会保障和就业支出（类）行政事业单位养老支出（款）行政单位离退休（项）:支出决算数为1.96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0.77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28.16%，主要原因是：</w:t>
      </w:r>
      <w:r>
        <w:rPr>
          <w:rFonts w:hint="eastAsia" w:eastAsia="仿宋_GB2312" w:cs="Times New Roman"/>
          <w:color w:val="auto"/>
          <w:kern w:val="2"/>
          <w:sz w:val="32"/>
          <w:szCs w:val="32"/>
          <w:highlight w:val="none"/>
          <w:lang w:val="zh-CN" w:eastAsia="zh-CN" w:bidi="ar-SA"/>
        </w:rPr>
        <w:t>根据通知，退休人员不缴纳医疗费，支出减少。</w:t>
      </w:r>
    </w:p>
    <w:p w14:paraId="50248FD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7.社会保障和就业支出（类）行政事业单位养老支出（款）机关事业单位基本养老保险缴费支出（项）:支出决算数为13.55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5.17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61.68%，主要原因是：</w:t>
      </w:r>
      <w:r>
        <w:rPr>
          <w:rFonts w:hint="eastAsia" w:eastAsia="仿宋_GB2312" w:cs="Times New Roman"/>
          <w:color w:val="auto"/>
          <w:kern w:val="2"/>
          <w:sz w:val="32"/>
          <w:szCs w:val="32"/>
          <w:highlight w:val="none"/>
          <w:lang w:val="zh-CN" w:eastAsia="zh-CN" w:bidi="ar-SA"/>
        </w:rPr>
        <w:t>本年度人员工资基数调高，缴费支出增加。</w:t>
      </w:r>
    </w:p>
    <w:p w14:paraId="0029B57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5D6C7DC7">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150.51</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141.58</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基本工资、津贴补贴、奖金、机关事业单位基本养老保险缴费、职工基本医疗保险缴费、公务员医疗补助缴费、其他社会保障缴费、住房公积金、其他工资福利支出、退休费、奖励金、其他对个人和家庭的补助。</w:t>
      </w:r>
    </w:p>
    <w:p w14:paraId="22E16F0B">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8.93</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办公费、邮电费、差旅费、维修（护）费、工会经费、福利费、其他交通费用、其他商品和服务支出。</w:t>
      </w:r>
    </w:p>
    <w:p w14:paraId="710691C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1605B829">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我单位无财政拨款“三公”经费支出。其中：因公出国（境）费支出0.00万元，占0.00%，比上年增加0.00万元，增长0.00%，主要原因是：我单位无因公出国（境）费支出；公务用车购置及运行维护费支出0.00万元，占0.00%，比上年增加0.00万元，增长0.00%，主要原因是：我单位无公务用车购置及运行维护费支出；公务接待费支出0.00万元，占0.00%，比上年增加0.00万元，增长0.00%，主要原因是：我单位无公务接待费支出。</w:t>
      </w:r>
    </w:p>
    <w:p w14:paraId="67839EAF">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53A87550">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因公出国（境）费支出0.00万元，开支内容包括我单位无因公出国（境）费。单位全年安排的因公出国（境）团组0个，因公出国（境）0人次。</w:t>
      </w:r>
    </w:p>
    <w:p w14:paraId="68BCCE60">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我单位无公务用车购置及运行维护费。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原因是：我单位车辆为执法执勤用车，不属于公务用车，使用其他交通费，支付燃油及维修费。</w:t>
      </w:r>
    </w:p>
    <w:p w14:paraId="6A69A1A3">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公务接待费0.00万元，开支内容包括我单位无公务接待费。单位全年安排的国内公务接待0批次，0人次。</w:t>
      </w:r>
    </w:p>
    <w:p w14:paraId="2B130C1B">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预算数0.00万元，决算数0.00万元，预决算差异率0.00%，主要原因是：我单位无财政拨款“三公”经费支出。其中：因公出国（境）费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0.00万元，决算数0.00万元，预决算差异率0.00%，主要原因是：我单位无因公出国（境）费；公务用车购置费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预算数0.00万元，决算数0.00万元，预决算差异率0.00%，主要原因是：我单位无公务用车购置费；公务用车运行费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预算数0.00万元，决算数0.00万元，预决算差异率0.00%，主要原因是：我单位无公务用车运行维护费；公务接待费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预算数0.00万元，决算数0.00万元，预决算差异率0.00%，主要原因是：我单位无公务接待费。</w:t>
      </w:r>
    </w:p>
    <w:p w14:paraId="131BF96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7E765B9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36EF858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004FBEA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37BE425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6FDDCC4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090C5C51">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6704"/>
      <w:bookmarkStart w:id="25" w:name="_Toc227"/>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昌吉市国土资源执法监察大队（行政单位和参照公务员法管理事业单位）机关运行经费支出8.93万元，比上年增加2.97万元，增长49.87%,主要原因是：</w:t>
      </w:r>
      <w:r>
        <w:rPr>
          <w:rFonts w:hint="eastAsia" w:ascii="仿宋_GB2312" w:eastAsia="仿宋_GB2312"/>
          <w:sz w:val="32"/>
          <w:szCs w:val="32"/>
        </w:rPr>
        <w:t>本年度新增基础绩效</w:t>
      </w:r>
      <w:r>
        <w:rPr>
          <w:rFonts w:hint="eastAsia" w:ascii="仿宋_GB2312" w:eastAsia="仿宋_GB2312"/>
          <w:sz w:val="32"/>
          <w:szCs w:val="32"/>
          <w:lang w:val="en-US" w:eastAsia="zh-CN"/>
        </w:rPr>
        <w:t>等</w:t>
      </w:r>
      <w:r>
        <w:rPr>
          <w:rFonts w:hint="eastAsia" w:ascii="仿宋_GB2312" w:eastAsia="仿宋_GB2312"/>
          <w:sz w:val="32"/>
          <w:szCs w:val="32"/>
        </w:rPr>
        <w:t>工资福利支出增加</w:t>
      </w:r>
      <w:r>
        <w:rPr>
          <w:rFonts w:hint="eastAsia" w:ascii="仿宋_GB2312" w:eastAsia="仿宋_GB2312"/>
          <w:sz w:val="32"/>
          <w:szCs w:val="32"/>
          <w:lang w:eastAsia="zh-CN"/>
        </w:rPr>
        <w:t>，计提公用经费增加</w:t>
      </w:r>
      <w:r>
        <w:rPr>
          <w:rFonts w:hint="eastAsia" w:ascii="仿宋_GB2312" w:eastAsia="仿宋_GB2312"/>
          <w:sz w:val="32"/>
          <w:szCs w:val="32"/>
        </w:rPr>
        <w:t>。</w:t>
      </w:r>
    </w:p>
    <w:p w14:paraId="0E4162C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78AE46D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14:paraId="5B15549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14:paraId="33386E7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2E6DBCA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35.31</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屋0.0平方米，价值0.00万元。车辆1辆，价值15.98万元，其中：副部（省）级及以上领导用车0辆、主要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用车0辆、机要通信用车0辆、应急保障用车0辆、执法执勤用车1辆、特种专业技术用车0辆、离退休干部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用车0辆、其他用车0辆，其他用车主要是：</w:t>
      </w:r>
      <w:r>
        <w:rPr>
          <w:rFonts w:hint="eastAsia" w:eastAsia="仿宋_GB2312" w:cs="Times New Roman"/>
          <w:color w:val="auto"/>
          <w:sz w:val="32"/>
          <w:szCs w:val="32"/>
          <w:highlight w:val="none"/>
          <w:lang w:val="zh-CN" w:eastAsia="zh-CN"/>
        </w:rPr>
        <w:t>我单位无其他用车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14:paraId="12AE0DB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0BC042DC">
      <w:pPr>
        <w:ind w:firstLine="640" w:firstLineChars="200"/>
        <w:rPr>
          <w:rFonts w:ascii="仿宋_GB2312" w:eastAsia="仿宋_GB2312"/>
          <w:sz w:val="32"/>
          <w:szCs w:val="32"/>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bookmarkStart w:id="48" w:name="_GoBack"/>
      <w:bookmarkEnd w:id="48"/>
      <w:r>
        <w:rPr>
          <w:rFonts w:hint="eastAsia" w:ascii="仿宋_GB2312" w:eastAsia="仿宋_GB2312"/>
          <w:sz w:val="32"/>
          <w:szCs w:val="32"/>
        </w:rPr>
        <w:t>。</w:t>
      </w:r>
    </w:p>
    <w:p w14:paraId="58DA28B2">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548346D9">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p>
    <w:p w14:paraId="4529636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p>
    <w:p w14:paraId="6DC1762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5A7410B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750CE20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2D84CBA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1C1DAC7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631C221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0B8C78D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3C2D703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72F2501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7ACB0AA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192AA94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1C7EC4B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49D5524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0D6172D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1098F3A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3AC9714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24A9B8D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7BC1480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4B261C5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6F8A1B0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7F5F520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2574499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4E54DA1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0CFC3FF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3742610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1485FFA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E8DF44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4275890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152F333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7ACC4F4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0FC47002">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03D87E07">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0958123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5F3C958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14:paraId="10CCF4B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14:paraId="08CDA39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14:paraId="274B288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14:paraId="1CAC73D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1FFBF7F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2A28774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14:paraId="3360936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0ED946C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7A120E18">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0454336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BD37C7">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427B1B7">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427B1B7">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zZmRjNGE1MWFhMmQ5YTI4N2U2NGVhNTI5YmQ5NzA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3E5B56"/>
    <w:rsid w:val="04B34D1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5F30F3D"/>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CEB17BB"/>
    <w:rsid w:val="1D22799A"/>
    <w:rsid w:val="1D5C1A72"/>
    <w:rsid w:val="1DAF458D"/>
    <w:rsid w:val="1E086ACE"/>
    <w:rsid w:val="1E62130A"/>
    <w:rsid w:val="1E97358B"/>
    <w:rsid w:val="1EAA4A5F"/>
    <w:rsid w:val="1EE869A7"/>
    <w:rsid w:val="1FA15E62"/>
    <w:rsid w:val="1FED69B6"/>
    <w:rsid w:val="205C0879"/>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27841"/>
    <w:rsid w:val="283A7FE5"/>
    <w:rsid w:val="285F51FF"/>
    <w:rsid w:val="28DF2665"/>
    <w:rsid w:val="29072599"/>
    <w:rsid w:val="291029F3"/>
    <w:rsid w:val="29157D1E"/>
    <w:rsid w:val="29CB58F0"/>
    <w:rsid w:val="2A053397"/>
    <w:rsid w:val="2A145E96"/>
    <w:rsid w:val="2A201F54"/>
    <w:rsid w:val="2AF5378F"/>
    <w:rsid w:val="2AF82A68"/>
    <w:rsid w:val="2B8A7E97"/>
    <w:rsid w:val="2BB94DBF"/>
    <w:rsid w:val="2C2925BE"/>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4E1AE3"/>
    <w:rsid w:val="3C96719C"/>
    <w:rsid w:val="3CA72BE8"/>
    <w:rsid w:val="3CF37F8C"/>
    <w:rsid w:val="3D137554"/>
    <w:rsid w:val="3D5275AC"/>
    <w:rsid w:val="3DCC2473"/>
    <w:rsid w:val="3DD4390A"/>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09040B0"/>
    <w:rsid w:val="41431AD5"/>
    <w:rsid w:val="414B3C0F"/>
    <w:rsid w:val="417C1CE7"/>
    <w:rsid w:val="41900018"/>
    <w:rsid w:val="41944406"/>
    <w:rsid w:val="41CE128F"/>
    <w:rsid w:val="41DA6F12"/>
    <w:rsid w:val="41F74549"/>
    <w:rsid w:val="42171FB1"/>
    <w:rsid w:val="42AE303E"/>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C1399"/>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3C5395"/>
    <w:rsid w:val="5CBB0CE2"/>
    <w:rsid w:val="5CC17177"/>
    <w:rsid w:val="5CF306BC"/>
    <w:rsid w:val="5D3F3D64"/>
    <w:rsid w:val="5D833043"/>
    <w:rsid w:val="5DD92690"/>
    <w:rsid w:val="5DDB1CFD"/>
    <w:rsid w:val="5E7E6D93"/>
    <w:rsid w:val="5ED44800"/>
    <w:rsid w:val="5F350BDE"/>
    <w:rsid w:val="5F61632C"/>
    <w:rsid w:val="5FA17648"/>
    <w:rsid w:val="5FE705CB"/>
    <w:rsid w:val="603D5080"/>
    <w:rsid w:val="60984760"/>
    <w:rsid w:val="60D0261B"/>
    <w:rsid w:val="618E3791"/>
    <w:rsid w:val="61947DCA"/>
    <w:rsid w:val="61A46A97"/>
    <w:rsid w:val="61D1382F"/>
    <w:rsid w:val="61F114A2"/>
    <w:rsid w:val="621E68C3"/>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1B7C59"/>
    <w:rsid w:val="6628010D"/>
    <w:rsid w:val="669B4528"/>
    <w:rsid w:val="66CC12D7"/>
    <w:rsid w:val="67134CEF"/>
    <w:rsid w:val="671F1ABD"/>
    <w:rsid w:val="67521A59"/>
    <w:rsid w:val="67C304AB"/>
    <w:rsid w:val="683F0658"/>
    <w:rsid w:val="689C6793"/>
    <w:rsid w:val="68DB0208"/>
    <w:rsid w:val="68FB170C"/>
    <w:rsid w:val="691B3D98"/>
    <w:rsid w:val="693748F0"/>
    <w:rsid w:val="693B1993"/>
    <w:rsid w:val="69846A0E"/>
    <w:rsid w:val="69AD798C"/>
    <w:rsid w:val="69D005C0"/>
    <w:rsid w:val="69D80B96"/>
    <w:rsid w:val="6B68175F"/>
    <w:rsid w:val="6BFD799F"/>
    <w:rsid w:val="6C410A0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0C0296E"/>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B57589"/>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5167</Words>
  <Characters>5750</Characters>
  <Lines>0</Lines>
  <Paragraphs>0</Paragraphs>
  <TotalTime>0</TotalTime>
  <ScaleCrop>false</ScaleCrop>
  <LinksUpToDate>false</LinksUpToDate>
  <CharactersWithSpaces>5771</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琪琪妈妈</cp:lastModifiedBy>
  <dcterms:modified xsi:type="dcterms:W3CDTF">2024-09-02T03:24:25Z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