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4CBD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A09526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6E33B0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玛纳斯县国土资源执法监察大队</w:t>
      </w:r>
    </w:p>
    <w:p w14:paraId="78D23A3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A9B686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6E1F46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F122FB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3191BF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264CD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D9A9A8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F89802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73662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2AA83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433E2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5BDBF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2230D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69714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6A93D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6AE31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00F691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8DEDBD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343FD2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26E627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040433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D510F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4274F1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CC2339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80E8C3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F037B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09ED9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EF680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D5539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BE12C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5F834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3E8AB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D5A4A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850D96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EE7D03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4E9B72B">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C8B3E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15835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735380FA">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玛纳斯县国土资源执法监察大队，为自治区自然资源厅下属四级预算单位，参照公务员法管理的事业单位。实行垂直管理，统一履行玛纳斯县区域内国土资源执法监察职能。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3、依法组织和实施玛纳斯县重大土地、矿产资源违法案件的调查、取证、现场勘验工作，并进行查处。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4、负责玛纳斯县重大土地、矿产资源违法案件查处决定的督办。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14:paraId="20293F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B23B7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玛纳斯县国土资源执法监察大队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0D19240B">
      <w:pPr>
        <w:ind w:firstLine="640" w:firstLineChars="200"/>
        <w:rPr>
          <w:rFonts w:hint="eastAsia" w:ascii="仿宋_GB2312" w:hAnsi="宋体" w:eastAsia="仿宋_GB2312" w:cs="宋体"/>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54FB898E">
      <w:pPr>
        <w:ind w:firstLine="640" w:firstLineChars="200"/>
        <w:rPr>
          <w:rFonts w:hint="eastAsia" w:ascii="仿宋_GB2312" w:hAnsi="宋体" w:eastAsia="仿宋_GB2312" w:cs="宋体"/>
          <w:kern w:val="0"/>
          <w:sz w:val="32"/>
          <w:szCs w:val="32"/>
        </w:rPr>
      </w:pPr>
    </w:p>
    <w:p w14:paraId="5E1CEA7D">
      <w:pPr>
        <w:ind w:firstLine="640" w:firstLineChars="200"/>
        <w:rPr>
          <w:rFonts w:hint="eastAsia" w:ascii="仿宋_GB2312" w:hAnsi="宋体" w:eastAsia="仿宋_GB2312" w:cs="宋体"/>
          <w:kern w:val="0"/>
          <w:sz w:val="32"/>
          <w:szCs w:val="32"/>
        </w:rPr>
      </w:pPr>
    </w:p>
    <w:p w14:paraId="1699FB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8FEFC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958F4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130.59万元，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124.55万元，使用非财政拨款结余0.00万元，年初结转和结余6.04万元。</w:t>
      </w:r>
    </w:p>
    <w:p w14:paraId="244FCB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130.59万元，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129.41万元，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0.00万元，年末结转和结余1.18万元。</w:t>
      </w:r>
    </w:p>
    <w:p w14:paraId="1D198CA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w:t>
      </w:r>
      <w:r>
        <w:rPr>
          <w:rFonts w:hint="eastAsia" w:ascii="仿宋_GB2312" w:eastAsia="仿宋_GB2312"/>
          <w:sz w:val="32"/>
          <w:szCs w:val="32"/>
          <w:lang w:val="en-US" w:eastAsia="zh-CN"/>
        </w:rPr>
        <w:t>1.86</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增长</w:t>
      </w:r>
      <w:r>
        <w:rPr>
          <w:rFonts w:hint="eastAsia" w:ascii="仿宋_GB2312" w:eastAsia="仿宋_GB2312"/>
          <w:sz w:val="32"/>
          <w:szCs w:val="32"/>
          <w:lang w:val="en-US" w:eastAsia="zh-CN"/>
        </w:rPr>
        <w:t>1.44</w:t>
      </w:r>
      <w:r>
        <w:rPr>
          <w:rFonts w:hint="eastAsia" w:ascii="仿宋_GB2312" w:eastAsia="仿宋_GB2312"/>
          <w:sz w:val="32"/>
          <w:szCs w:val="32"/>
          <w:lang w:val="zh-CN"/>
        </w:rPr>
        <w:t>%</w:t>
      </w:r>
      <w:r>
        <w:rPr>
          <w:rFonts w:hint="eastAsia" w:ascii="仿宋_GB2312" w:eastAsia="仿宋_GB2312"/>
          <w:sz w:val="32"/>
          <w:szCs w:val="32"/>
        </w:rPr>
        <w:t>，主要原因是：本年度新增基础绩效</w:t>
      </w:r>
      <w:r>
        <w:rPr>
          <w:rFonts w:hint="eastAsia" w:ascii="仿宋_GB2312" w:eastAsia="仿宋_GB2312"/>
          <w:sz w:val="32"/>
          <w:szCs w:val="32"/>
          <w:lang w:val="en-US" w:eastAsia="zh-CN"/>
        </w:rPr>
        <w:t>等</w:t>
      </w:r>
      <w:r>
        <w:rPr>
          <w:rFonts w:hint="eastAsia" w:ascii="仿宋_GB2312" w:eastAsia="仿宋_GB2312"/>
          <w:sz w:val="32"/>
          <w:szCs w:val="32"/>
        </w:rPr>
        <w:t>工资福利支出增加。</w:t>
      </w:r>
    </w:p>
    <w:p w14:paraId="4E4260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B1678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124.55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124.53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15FA2E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373DA4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本年支出129.41万元，其中：基本支出87.53万元，占67.64%；项目支出41.88万元，占32.36%；上缴上级支出0.00万元，占0.00%；经营支出0.00万元，占0.00%；对附属单位补助支出0.00万元，占0.00%。</w:t>
      </w:r>
    </w:p>
    <w:p w14:paraId="3D609E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61C16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130.49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5.96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124.53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130.49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1.08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129.41</w:t>
      </w:r>
      <w:r>
        <w:rPr>
          <w:rFonts w:hint="eastAsia" w:ascii="仿宋_GB2312" w:eastAsia="仿宋_GB2312"/>
          <w:color w:val="auto"/>
          <w:spacing w:val="0"/>
          <w:sz w:val="32"/>
          <w:szCs w:val="32"/>
          <w:highlight w:val="none"/>
          <w:lang w:eastAsia="zh-CN"/>
        </w:rPr>
        <w:t>万元。</w:t>
      </w:r>
    </w:p>
    <w:p w14:paraId="3D3BF44B">
      <w:pPr>
        <w:ind w:firstLine="640" w:firstLineChars="200"/>
        <w:jc w:val="left"/>
        <w:rPr>
          <w:rFonts w:ascii="仿宋_GB2312" w:eastAsia="仿宋_GB2312"/>
          <w:sz w:val="32"/>
          <w:szCs w:val="32"/>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增加1.84万元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等</w:t>
      </w:r>
      <w:r>
        <w:rPr>
          <w:rFonts w:hint="eastAsia" w:ascii="仿宋_GB2312" w:eastAsia="仿宋_GB2312"/>
          <w:sz w:val="32"/>
          <w:szCs w:val="32"/>
        </w:rPr>
        <w:t>工资福利支出增加。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118.75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130.49</w:t>
      </w:r>
      <w:r>
        <w:rPr>
          <w:rFonts w:hint="eastAsia" w:ascii="仿宋_GB2312" w:eastAsia="仿宋_GB2312"/>
          <w:color w:val="auto"/>
          <w:spacing w:val="0"/>
          <w:sz w:val="32"/>
          <w:szCs w:val="32"/>
          <w:highlight w:val="none"/>
          <w:lang w:eastAsia="zh-CN"/>
        </w:rPr>
        <w:t>万元，预决算差异率9.89%，</w:t>
      </w:r>
      <w:r>
        <w:rPr>
          <w:rFonts w:hint="eastAsia" w:ascii="仿宋_GB2312" w:eastAsia="仿宋_GB2312"/>
          <w:sz w:val="32"/>
          <w:szCs w:val="32"/>
        </w:rPr>
        <w:t>主要原因是：本年度</w:t>
      </w:r>
      <w:r>
        <w:rPr>
          <w:rFonts w:hint="eastAsia" w:ascii="仿宋_GB2312" w:eastAsia="仿宋_GB2312"/>
          <w:sz w:val="32"/>
          <w:szCs w:val="32"/>
          <w:lang w:val="en-US" w:eastAsia="zh-CN"/>
        </w:rPr>
        <w:t>追加</w:t>
      </w:r>
      <w:r>
        <w:rPr>
          <w:rFonts w:hint="eastAsia" w:ascii="仿宋_GB2312" w:eastAsia="仿宋_GB2312"/>
          <w:sz w:val="32"/>
          <w:szCs w:val="32"/>
        </w:rPr>
        <w:t>基础绩效</w:t>
      </w:r>
      <w:r>
        <w:rPr>
          <w:rFonts w:hint="eastAsia" w:ascii="仿宋_GB2312" w:eastAsia="仿宋_GB2312"/>
          <w:sz w:val="32"/>
          <w:szCs w:val="32"/>
          <w:lang w:val="en-US" w:eastAsia="zh-CN"/>
        </w:rPr>
        <w:t>等</w:t>
      </w:r>
      <w:r>
        <w:rPr>
          <w:rFonts w:hint="eastAsia" w:ascii="仿宋_GB2312" w:eastAsia="仿宋_GB2312"/>
          <w:sz w:val="32"/>
          <w:szCs w:val="32"/>
        </w:rPr>
        <w:t>工资</w:t>
      </w:r>
      <w:r>
        <w:rPr>
          <w:rFonts w:hint="eastAsia" w:ascii="仿宋_GB2312" w:eastAsia="仿宋_GB2312"/>
          <w:sz w:val="32"/>
          <w:szCs w:val="32"/>
          <w:lang w:val="en-US" w:eastAsia="zh-CN"/>
        </w:rPr>
        <w:t>经费</w:t>
      </w:r>
      <w:r>
        <w:rPr>
          <w:rFonts w:hint="eastAsia" w:ascii="仿宋_GB2312" w:eastAsia="仿宋_GB2312"/>
          <w:sz w:val="32"/>
          <w:szCs w:val="32"/>
        </w:rPr>
        <w:t>。</w:t>
      </w:r>
    </w:p>
    <w:p w14:paraId="126A8D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6" w:name="_Toc20360"/>
      <w:bookmarkStart w:id="17" w:name="_Toc13833"/>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五、一般公共预算财政拨款支出决算情况说明</w:t>
      </w:r>
      <w:bookmarkEnd w:id="16"/>
      <w:bookmarkEnd w:id="17"/>
    </w:p>
    <w:p w14:paraId="754467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（一）一般公共预算财政拨款支出决算总体情况</w:t>
      </w:r>
    </w:p>
    <w:p w14:paraId="3D2D1439">
      <w:pPr>
        <w:spacing w:line="600" w:lineRule="exact"/>
        <w:ind w:firstLine="640" w:firstLineChars="200"/>
        <w:jc w:val="left"/>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2023年度一般公共预算财政拨款支出129.41万元，占本年支出合计的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增长5.47%，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等</w:t>
      </w:r>
      <w:r>
        <w:rPr>
          <w:rFonts w:hint="eastAsia" w:ascii="仿宋_GB2312" w:eastAsia="仿宋_GB2312"/>
          <w:sz w:val="32"/>
          <w:szCs w:val="32"/>
        </w:rPr>
        <w:t>工资福利支出增加。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118.75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129.41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8.98%</w:t>
      </w:r>
      <w:r>
        <w:rPr>
          <w:rFonts w:hint="eastAsia" w:ascii="仿宋_GB2312" w:eastAsia="仿宋_GB2312"/>
          <w:color w:val="auto"/>
          <w:spacing w:val="0"/>
          <w:sz w:val="32"/>
          <w:szCs w:val="32"/>
          <w:highlight w:val="none"/>
          <w:lang w:eastAsia="zh-CN"/>
        </w:rPr>
        <w:t>，</w:t>
      </w:r>
      <w:r>
        <w:rPr>
          <w:rFonts w:hint="eastAsia" w:ascii="仿宋_GB2312" w:eastAsia="仿宋_GB2312"/>
          <w:sz w:val="32"/>
          <w:szCs w:val="32"/>
        </w:rPr>
        <w:t>主要原因是：本年度</w:t>
      </w:r>
      <w:r>
        <w:rPr>
          <w:rFonts w:hint="eastAsia" w:ascii="仿宋_GB2312" w:eastAsia="仿宋_GB2312"/>
          <w:sz w:val="32"/>
          <w:szCs w:val="32"/>
          <w:lang w:val="en-US" w:eastAsia="zh-CN"/>
        </w:rPr>
        <w:t>追加</w:t>
      </w:r>
      <w:r>
        <w:rPr>
          <w:rFonts w:hint="eastAsia" w:ascii="仿宋_GB2312" w:eastAsia="仿宋_GB2312"/>
          <w:sz w:val="32"/>
          <w:szCs w:val="32"/>
        </w:rPr>
        <w:t>基础绩效</w:t>
      </w:r>
      <w:r>
        <w:rPr>
          <w:rFonts w:hint="eastAsia" w:ascii="仿宋_GB2312" w:eastAsia="仿宋_GB2312"/>
          <w:sz w:val="32"/>
          <w:szCs w:val="32"/>
          <w:lang w:val="en-US" w:eastAsia="zh-CN"/>
        </w:rPr>
        <w:t>等</w:t>
      </w:r>
      <w:r>
        <w:rPr>
          <w:rFonts w:hint="eastAsia" w:ascii="仿宋_GB2312" w:eastAsia="仿宋_GB2312"/>
          <w:sz w:val="32"/>
          <w:szCs w:val="32"/>
        </w:rPr>
        <w:t>工资</w:t>
      </w:r>
      <w:r>
        <w:rPr>
          <w:rFonts w:hint="eastAsia" w:ascii="仿宋_GB2312" w:eastAsia="仿宋_GB2312"/>
          <w:sz w:val="32"/>
          <w:szCs w:val="32"/>
          <w:lang w:val="en-US" w:eastAsia="zh-CN"/>
        </w:rPr>
        <w:t>经费</w:t>
      </w:r>
      <w:r>
        <w:rPr>
          <w:rFonts w:hint="eastAsia" w:ascii="仿宋_GB2312" w:eastAsia="仿宋_GB2312"/>
          <w:sz w:val="32"/>
          <w:szCs w:val="32"/>
        </w:rPr>
        <w:t>。</w:t>
      </w:r>
    </w:p>
    <w:p w14:paraId="798AD75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4E3562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8.98</w:t>
      </w:r>
      <w:r>
        <w:rPr>
          <w:rFonts w:hint="default" w:ascii="仿宋_GB2312" w:hAnsi="Times New Roman" w:eastAsia="仿宋_GB2312" w:cs="Times New Roman"/>
          <w:color w:val="auto"/>
          <w:spacing w:val="0"/>
          <w:kern w:val="2"/>
          <w:sz w:val="32"/>
          <w:szCs w:val="32"/>
          <w:highlight w:val="none"/>
          <w:lang w:val="zh-CN" w:eastAsia="zh-CN" w:bidi="ar-SA"/>
        </w:rPr>
        <w:t>%；</w:t>
      </w:r>
    </w:p>
    <w:p w14:paraId="7B59894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5.57</w:t>
      </w:r>
      <w:r>
        <w:rPr>
          <w:rFonts w:hint="default" w:ascii="仿宋_GB2312" w:hAnsi="Times New Roman" w:eastAsia="仿宋_GB2312" w:cs="Times New Roman"/>
          <w:color w:val="auto"/>
          <w:spacing w:val="0"/>
          <w:kern w:val="2"/>
          <w:sz w:val="32"/>
          <w:szCs w:val="32"/>
          <w:highlight w:val="none"/>
          <w:lang w:val="zh-CN" w:eastAsia="zh-CN" w:bidi="ar-SA"/>
        </w:rPr>
        <w:t>%；</w:t>
      </w:r>
    </w:p>
    <w:p w14:paraId="2B73A04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104.83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81.00</w:t>
      </w:r>
      <w:r>
        <w:rPr>
          <w:rFonts w:hint="default" w:ascii="仿宋_GB2312" w:hAnsi="Times New Roman" w:eastAsia="仿宋_GB2312" w:cs="Times New Roman"/>
          <w:color w:val="auto"/>
          <w:spacing w:val="0"/>
          <w:kern w:val="2"/>
          <w:sz w:val="32"/>
          <w:szCs w:val="32"/>
          <w:highlight w:val="none"/>
          <w:lang w:val="zh-CN" w:eastAsia="zh-CN" w:bidi="ar-SA"/>
        </w:rPr>
        <w:t>%；</w:t>
      </w:r>
    </w:p>
    <w:p w14:paraId="623A6CC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4.45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7518AA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（三）一般公共预算财政拨款支出决算具体情况</w:t>
      </w:r>
    </w:p>
    <w:p w14:paraId="1EEAD48F">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66.04%，主要原因是：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07B573BB">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85.90%，主要原因是：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4380C970">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3.自然资源海洋气象等支出（类）自然资源事务（款）其他自然资源事务支出（项）:支出决算数为41.88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15.08%，</w:t>
      </w:r>
      <w:r>
        <w:rPr>
          <w:rFonts w:hint="eastAsia" w:eastAsia="仿宋_GB2312"/>
          <w:sz w:val="32"/>
          <w:szCs w:val="32"/>
        </w:rPr>
        <w:t>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sz w:val="32"/>
          <w:szCs w:val="32"/>
          <w:lang w:val="en-US" w:eastAsia="zh-CN"/>
        </w:rPr>
        <w:t>厉行节约，执法办案支出</w:t>
      </w:r>
      <w:r>
        <w:rPr>
          <w:rFonts w:hint="eastAsia" w:ascii="仿宋_GB2312" w:eastAsia="仿宋_GB2312"/>
          <w:sz w:val="32"/>
          <w:szCs w:val="32"/>
        </w:rPr>
        <w:t>较上年减少</w:t>
      </w:r>
      <w:r>
        <w:rPr>
          <w:rFonts w:hint="eastAsia" w:eastAsia="仿宋_GB2312"/>
          <w:sz w:val="32"/>
          <w:szCs w:val="32"/>
          <w:lang w:val="zh-CN"/>
        </w:rPr>
        <w:t>。</w:t>
      </w:r>
    </w:p>
    <w:p w14:paraId="18103649">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4.自然资源海洋气象等支出（类）自然资源事务（款）行政运行（项）:支出决算数为62.95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12.34%，主要原因是：</w:t>
      </w:r>
      <w:r>
        <w:rPr>
          <w:rFonts w:hint="eastAsia" w:ascii="仿宋_GB2312" w:eastAsia="仿宋_GB2312"/>
          <w:color w:val="auto"/>
          <w:spacing w:val="0"/>
          <w:sz w:val="32"/>
          <w:szCs w:val="32"/>
          <w:highlight w:val="none"/>
          <w:lang w:val="en-US" w:eastAsia="zh-CN"/>
        </w:rPr>
        <w:t>本年度追加基础绩效等人员工资经费</w:t>
      </w:r>
      <w:r>
        <w:rPr>
          <w:rFonts w:hint="eastAsia" w:eastAsia="仿宋_GB2312"/>
          <w:sz w:val="32"/>
          <w:szCs w:val="32"/>
          <w:lang w:val="zh-CN"/>
        </w:rPr>
        <w:t>。</w:t>
      </w:r>
    </w:p>
    <w:p w14:paraId="3EC8B5D4">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78.89%，主要原因是：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66263ECA">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30.87%，主要原因是：</w:t>
      </w:r>
      <w:r>
        <w:rPr>
          <w:rFonts w:hint="eastAsia" w:eastAsia="仿宋_GB2312" w:cs="Times New Roman"/>
          <w:color w:val="auto"/>
          <w:kern w:val="2"/>
          <w:sz w:val="32"/>
          <w:szCs w:val="32"/>
          <w:highlight w:val="none"/>
          <w:lang w:val="en-US" w:eastAsia="zh-CN" w:bidi="ar-SA"/>
        </w:rPr>
        <w:t>根据相关通知，退休人员不缴纳医疗费，支出减少</w:t>
      </w:r>
      <w:r>
        <w:rPr>
          <w:rFonts w:hint="eastAsia" w:eastAsia="仿宋_GB2312"/>
          <w:sz w:val="32"/>
          <w:szCs w:val="32"/>
          <w:lang w:val="zh-CN"/>
        </w:rPr>
        <w:t>。</w:t>
      </w:r>
    </w:p>
    <w:p w14:paraId="34B613F5">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78.89%，</w:t>
      </w:r>
      <w:r>
        <w:rPr>
          <w:rFonts w:hint="eastAsia" w:eastAsia="仿宋_GB2312"/>
          <w:sz w:val="32"/>
          <w:szCs w:val="32"/>
        </w:rPr>
        <w:t>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0BB071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D85CF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87.53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82.55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基本工资、津贴补贴、奖金、机关事业单位基本养老保险缴费、职工基本医疗保险缴费、公务员医疗补助缴费、其他社会保障缴费、住房公积金、其他工资福利支出、退休费、奖励金。</w:t>
      </w:r>
    </w:p>
    <w:p w14:paraId="4C9AA81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4.99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p>
    <w:p w14:paraId="7282DD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七、</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财政拨款</w:t>
      </w:r>
      <w:r>
        <w:rPr>
          <w:rFonts w:hint="eastAsia" w:ascii="黑体" w:hAnsi="黑体" w:eastAsia="黑体" w:cs="宋体"/>
          <w:bCs/>
          <w:color w:val="000000" w:themeColor="text1"/>
          <w:kern w:val="0"/>
          <w:sz w:val="32"/>
          <w:szCs w:val="32"/>
          <w:highlight w:val="none"/>
          <w14:textFill>
            <w14:solidFill>
              <w14:schemeClr w14:val="tx1"/>
            </w14:solidFill>
          </w14:textFill>
        </w:rPr>
        <w:t>“三公”经费支出</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p>
    <w:p w14:paraId="0926ED1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。其中：因公出国（境）费支出0.00万元，占0.00%，比上年增加0.00万元，增长0.00%，主要原因是：主要原因是：</w:t>
      </w:r>
      <w:r>
        <w:rPr>
          <w:rFonts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14:paraId="07D3CD1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3EF234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sz w:val="32"/>
          <w:szCs w:val="32"/>
          <w:lang w:val="zh-CN"/>
        </w:rPr>
        <w:t>。</w:t>
      </w:r>
      <w:r>
        <w:rPr>
          <w:rFonts w:hint="eastAsia" w:ascii="仿宋_GB2312" w:eastAsia="仿宋_GB2312"/>
          <w:color w:val="auto"/>
          <w:sz w:val="32"/>
          <w:szCs w:val="32"/>
          <w:highlight w:val="none"/>
          <w:lang w:val="zh-CN" w:eastAsia="zh-CN"/>
        </w:rPr>
        <w:t>单位全年安排的因公出国（境）团组0个，因公出国（境）0人次。</w:t>
      </w:r>
    </w:p>
    <w:p w14:paraId="781A55F4">
      <w:pPr>
        <w:ind w:firstLine="640" w:firstLineChars="200"/>
        <w:jc w:val="left"/>
        <w:rPr>
          <w:rFonts w:ascii="仿宋_GB2312" w:eastAsia="仿宋_GB2312"/>
          <w:sz w:val="32"/>
          <w:szCs w:val="32"/>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w:t>
      </w:r>
      <w:r>
        <w:rPr>
          <w:rFonts w:hint="eastAsia" w:ascii="仿宋_GB2312" w:eastAsia="仿宋_GB2312"/>
          <w:sz w:val="32"/>
          <w:szCs w:val="32"/>
          <w:lang w:val="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lang w:val="en-US" w:eastAsia="zh-CN"/>
        </w:rPr>
        <w:t>我单位</w:t>
      </w:r>
      <w:r>
        <w:rPr>
          <w:rFonts w:hint="eastAsia" w:ascii="仿宋_GB2312" w:eastAsia="仿宋_GB2312"/>
          <w:color w:val="auto"/>
          <w:sz w:val="32"/>
          <w:szCs w:val="32"/>
          <w:highlight w:val="none"/>
          <w:lang w:val="en-US" w:eastAsia="zh-CN"/>
        </w:rPr>
        <w:t>固定资产车辆为</w:t>
      </w:r>
      <w:r>
        <w:rPr>
          <w:rFonts w:hint="eastAsia" w:ascii="Times New Roman" w:hAnsi="Times New Roman" w:eastAsia="仿宋_GB2312" w:cs="Times New Roman"/>
          <w:color w:val="auto"/>
          <w:sz w:val="32"/>
          <w:szCs w:val="32"/>
          <w:highlight w:val="none"/>
          <w:lang w:val="zh-CN" w:eastAsia="zh-CN"/>
        </w:rPr>
        <w:t>执法执勤用车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r>
        <w:rPr>
          <w:rFonts w:hint="eastAsia" w:ascii="仿宋_GB2312" w:eastAsia="仿宋_GB2312"/>
          <w:sz w:val="32"/>
          <w:szCs w:val="32"/>
          <w:lang w:val="zh-CN"/>
        </w:rPr>
        <w:t>。</w:t>
      </w:r>
    </w:p>
    <w:p w14:paraId="04B4BBA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lang w:val="zh-CN"/>
        </w:rPr>
        <w:t>。</w:t>
      </w:r>
      <w:r>
        <w:rPr>
          <w:rFonts w:hint="eastAsia" w:ascii="仿宋_GB2312" w:eastAsia="仿宋_GB2312"/>
          <w:color w:val="auto"/>
          <w:sz w:val="32"/>
          <w:szCs w:val="32"/>
          <w:highlight w:val="none"/>
          <w:lang w:val="zh-CN" w:eastAsia="zh-CN"/>
        </w:rPr>
        <w:t>单位全年安排的国内公务接待0批次，0人次。</w:t>
      </w:r>
    </w:p>
    <w:p w14:paraId="57E8591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14:paraId="776A2F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B600CFA">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F3161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5C720F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C32B7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0" w:name="_Toc1235"/>
      <w:bookmarkStart w:id="21" w:name="_Toc731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14:textFill>
            <w14:solidFill>
              <w14:schemeClr w14:val="tx1"/>
            </w14:solidFill>
          </w14:textFill>
        </w:rPr>
        <w:t>、其他重要事项的情况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bookmarkEnd w:id="20"/>
      <w:bookmarkEnd w:id="21"/>
    </w:p>
    <w:p w14:paraId="6F91D9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6D552B7">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玛纳斯县国土资源执法监察大队（行政单位和参照公务员法管理事业单位）机关运行经费支出4.99万元，比上年增加1.12万元，增长28.84%</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等</w:t>
      </w:r>
      <w:r>
        <w:rPr>
          <w:rFonts w:hint="eastAsia" w:ascii="仿宋_GB2312" w:eastAsia="仿宋_GB2312"/>
          <w:sz w:val="32"/>
          <w:szCs w:val="32"/>
        </w:rPr>
        <w:t>工资福利支出增加</w:t>
      </w:r>
      <w:r>
        <w:rPr>
          <w:rFonts w:hint="eastAsia" w:ascii="仿宋_GB2312" w:eastAsia="仿宋_GB2312"/>
          <w:sz w:val="32"/>
          <w:szCs w:val="32"/>
          <w:lang w:eastAsia="zh-CN"/>
        </w:rPr>
        <w:t>，公用经费计提增加</w:t>
      </w:r>
      <w:r>
        <w:rPr>
          <w:rFonts w:hint="eastAsia" w:ascii="仿宋_GB2312" w:eastAsia="仿宋_GB2312"/>
          <w:sz w:val="32"/>
          <w:szCs w:val="32"/>
        </w:rPr>
        <w:t>。</w:t>
      </w:r>
    </w:p>
    <w:p w14:paraId="7FCF4A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8E9DE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11AB81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EA3DF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6F3AD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37.88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屋0.0平方米，价值0.00万元。车辆1辆，价值15.98万元，其中：副部（省）级及以上领导用车0辆、主要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eastAsia="仿宋_GB2312"/>
          <w:sz w:val="32"/>
          <w:szCs w:val="32"/>
          <w:lang w:val="zh-CN"/>
        </w:rPr>
        <w:t>；</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91CAE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9BCFA4B">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08F9151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647A30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166C6F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E3F08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BDCFBB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91758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2A912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E4C9DD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0B2FF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95CCB6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630481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12AB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B26DF3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F6158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76012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80A60B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EA65C14">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08AC4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D574C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4610C8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56B4D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6539E0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02A006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507D1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4D904E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3F898A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71244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9A728C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8FFB2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D31C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D2D9F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DD2D9F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BF295A"/>
    <w:rsid w:val="00F52A8D"/>
    <w:rsid w:val="019404F8"/>
    <w:rsid w:val="02BD3108"/>
    <w:rsid w:val="02F73D26"/>
    <w:rsid w:val="034D4FEF"/>
    <w:rsid w:val="035D1785"/>
    <w:rsid w:val="036363D4"/>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5C5D9F"/>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6C275A"/>
    <w:rsid w:val="0F78534A"/>
    <w:rsid w:val="0F89358A"/>
    <w:rsid w:val="0F8C6D51"/>
    <w:rsid w:val="105B0B5E"/>
    <w:rsid w:val="112E58D0"/>
    <w:rsid w:val="11340524"/>
    <w:rsid w:val="11731CAC"/>
    <w:rsid w:val="119500A0"/>
    <w:rsid w:val="11C0733B"/>
    <w:rsid w:val="11D50D17"/>
    <w:rsid w:val="120E0809"/>
    <w:rsid w:val="127F665A"/>
    <w:rsid w:val="12F7068C"/>
    <w:rsid w:val="14207DC0"/>
    <w:rsid w:val="14B932DA"/>
    <w:rsid w:val="150A66AF"/>
    <w:rsid w:val="15284ADE"/>
    <w:rsid w:val="154C1139"/>
    <w:rsid w:val="158C5B77"/>
    <w:rsid w:val="160D1149"/>
    <w:rsid w:val="163563C0"/>
    <w:rsid w:val="164315EF"/>
    <w:rsid w:val="16557DFE"/>
    <w:rsid w:val="167268FB"/>
    <w:rsid w:val="16D50C50"/>
    <w:rsid w:val="16E120E1"/>
    <w:rsid w:val="172A591A"/>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6D5F2C"/>
    <w:rsid w:val="1FA15E62"/>
    <w:rsid w:val="1FED69B6"/>
    <w:rsid w:val="203B5FCA"/>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7429C1"/>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0C3D8B"/>
    <w:rsid w:val="3389023A"/>
    <w:rsid w:val="33CB74FA"/>
    <w:rsid w:val="343642F2"/>
    <w:rsid w:val="343F3010"/>
    <w:rsid w:val="345D0A00"/>
    <w:rsid w:val="34713BFD"/>
    <w:rsid w:val="34C13589"/>
    <w:rsid w:val="353369E3"/>
    <w:rsid w:val="35E00D72"/>
    <w:rsid w:val="36965B9D"/>
    <w:rsid w:val="36C549FD"/>
    <w:rsid w:val="372A7722"/>
    <w:rsid w:val="37A755DD"/>
    <w:rsid w:val="37F94FA0"/>
    <w:rsid w:val="380D3381"/>
    <w:rsid w:val="38115B1F"/>
    <w:rsid w:val="38221983"/>
    <w:rsid w:val="385E3AC3"/>
    <w:rsid w:val="387D6B9E"/>
    <w:rsid w:val="38B75FF0"/>
    <w:rsid w:val="38D45016"/>
    <w:rsid w:val="38D90432"/>
    <w:rsid w:val="3914510A"/>
    <w:rsid w:val="3926770B"/>
    <w:rsid w:val="398D3668"/>
    <w:rsid w:val="39DA0497"/>
    <w:rsid w:val="3A893816"/>
    <w:rsid w:val="3A893B6D"/>
    <w:rsid w:val="3AD1763A"/>
    <w:rsid w:val="3B6716E3"/>
    <w:rsid w:val="3B6C6B2D"/>
    <w:rsid w:val="3B9A612F"/>
    <w:rsid w:val="3C242659"/>
    <w:rsid w:val="3C96719C"/>
    <w:rsid w:val="3CA72BE8"/>
    <w:rsid w:val="3CAF5C0A"/>
    <w:rsid w:val="3CF37F8C"/>
    <w:rsid w:val="3D137554"/>
    <w:rsid w:val="3D5275AC"/>
    <w:rsid w:val="3DCC2473"/>
    <w:rsid w:val="3DE83BF1"/>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7F40F1"/>
    <w:rsid w:val="41900018"/>
    <w:rsid w:val="41944406"/>
    <w:rsid w:val="41CE128F"/>
    <w:rsid w:val="41D91D63"/>
    <w:rsid w:val="41DA6F12"/>
    <w:rsid w:val="42171FB1"/>
    <w:rsid w:val="434E6957"/>
    <w:rsid w:val="43BA0E31"/>
    <w:rsid w:val="43C15147"/>
    <w:rsid w:val="43E14DD2"/>
    <w:rsid w:val="43F800E9"/>
    <w:rsid w:val="443A7E4B"/>
    <w:rsid w:val="44DF14C8"/>
    <w:rsid w:val="452F5B3A"/>
    <w:rsid w:val="454E7FD2"/>
    <w:rsid w:val="46061BDC"/>
    <w:rsid w:val="461404F8"/>
    <w:rsid w:val="46413018"/>
    <w:rsid w:val="464B7E04"/>
    <w:rsid w:val="468041AA"/>
    <w:rsid w:val="468123C6"/>
    <w:rsid w:val="46901EEE"/>
    <w:rsid w:val="469C74D2"/>
    <w:rsid w:val="47445515"/>
    <w:rsid w:val="474B4782"/>
    <w:rsid w:val="47D90D14"/>
    <w:rsid w:val="47E151C8"/>
    <w:rsid w:val="48387FB0"/>
    <w:rsid w:val="483A6114"/>
    <w:rsid w:val="488727DB"/>
    <w:rsid w:val="48B82268"/>
    <w:rsid w:val="48C354B3"/>
    <w:rsid w:val="493D58B5"/>
    <w:rsid w:val="494A7A04"/>
    <w:rsid w:val="4A0A26D2"/>
    <w:rsid w:val="4A2019A5"/>
    <w:rsid w:val="4A241A0B"/>
    <w:rsid w:val="4A7B2875"/>
    <w:rsid w:val="4A934476"/>
    <w:rsid w:val="4AA04DE4"/>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2B29C8"/>
    <w:rsid w:val="525C687F"/>
    <w:rsid w:val="52F647F7"/>
    <w:rsid w:val="52F92565"/>
    <w:rsid w:val="53D03877"/>
    <w:rsid w:val="542F73CA"/>
    <w:rsid w:val="5430786D"/>
    <w:rsid w:val="54C811C0"/>
    <w:rsid w:val="556A442D"/>
    <w:rsid w:val="55AF1596"/>
    <w:rsid w:val="55DA564E"/>
    <w:rsid w:val="5602695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AB7C23"/>
    <w:rsid w:val="5AB34579"/>
    <w:rsid w:val="5AFC6609"/>
    <w:rsid w:val="5B113480"/>
    <w:rsid w:val="5BD456CE"/>
    <w:rsid w:val="5C0D1F49"/>
    <w:rsid w:val="5CBB0CE2"/>
    <w:rsid w:val="5CC17177"/>
    <w:rsid w:val="5CF306BC"/>
    <w:rsid w:val="5D3F3D64"/>
    <w:rsid w:val="5D833043"/>
    <w:rsid w:val="5DD92690"/>
    <w:rsid w:val="5DDB1CFD"/>
    <w:rsid w:val="5E7E6D93"/>
    <w:rsid w:val="5EA97545"/>
    <w:rsid w:val="5ED44800"/>
    <w:rsid w:val="5F350BDE"/>
    <w:rsid w:val="5F61632C"/>
    <w:rsid w:val="5FA17648"/>
    <w:rsid w:val="5FE705CB"/>
    <w:rsid w:val="603D5080"/>
    <w:rsid w:val="60D0261B"/>
    <w:rsid w:val="60E63163"/>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BD2836"/>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256789"/>
    <w:rsid w:val="693748F0"/>
    <w:rsid w:val="69846A0E"/>
    <w:rsid w:val="69AD798C"/>
    <w:rsid w:val="69D005C0"/>
    <w:rsid w:val="69D80B96"/>
    <w:rsid w:val="6B68175F"/>
    <w:rsid w:val="6BFD799F"/>
    <w:rsid w:val="6C0F17B0"/>
    <w:rsid w:val="6C4A2E5A"/>
    <w:rsid w:val="6C8138D0"/>
    <w:rsid w:val="6CEF0725"/>
    <w:rsid w:val="6D203E37"/>
    <w:rsid w:val="6D4B2604"/>
    <w:rsid w:val="6D8030E4"/>
    <w:rsid w:val="6E0E35C4"/>
    <w:rsid w:val="6E0F7A08"/>
    <w:rsid w:val="6E3947F5"/>
    <w:rsid w:val="6E9C74ED"/>
    <w:rsid w:val="6EB72A9D"/>
    <w:rsid w:val="6EF72976"/>
    <w:rsid w:val="6F795A80"/>
    <w:rsid w:val="6F7C1D2E"/>
    <w:rsid w:val="6F8E0407"/>
    <w:rsid w:val="6FDD069F"/>
    <w:rsid w:val="702B4D16"/>
    <w:rsid w:val="704E11F4"/>
    <w:rsid w:val="70AA6621"/>
    <w:rsid w:val="7111480F"/>
    <w:rsid w:val="71261F49"/>
    <w:rsid w:val="712E6956"/>
    <w:rsid w:val="71473612"/>
    <w:rsid w:val="71504F32"/>
    <w:rsid w:val="7152309F"/>
    <w:rsid w:val="718F7F65"/>
    <w:rsid w:val="727B234E"/>
    <w:rsid w:val="72D068C7"/>
    <w:rsid w:val="72E42ED8"/>
    <w:rsid w:val="735F4CB9"/>
    <w:rsid w:val="73674C62"/>
    <w:rsid w:val="73845865"/>
    <w:rsid w:val="738A200A"/>
    <w:rsid w:val="739B6D9E"/>
    <w:rsid w:val="73BC1D76"/>
    <w:rsid w:val="73FB6630"/>
    <w:rsid w:val="748D790E"/>
    <w:rsid w:val="749820CC"/>
    <w:rsid w:val="74CE04EC"/>
    <w:rsid w:val="74E76DCD"/>
    <w:rsid w:val="751D7C0A"/>
    <w:rsid w:val="75722D56"/>
    <w:rsid w:val="75DB5477"/>
    <w:rsid w:val="75FC6AC3"/>
    <w:rsid w:val="7616619B"/>
    <w:rsid w:val="761F73DF"/>
    <w:rsid w:val="762F0C47"/>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264AC8"/>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5176</Words>
  <Characters>5743</Characters>
  <Lines>0</Lines>
  <Paragraphs>0</Paragraphs>
  <TotalTime>0</TotalTime>
  <ScaleCrop>false</ScaleCrop>
  <LinksUpToDate>false</LinksUpToDate>
  <CharactersWithSpaces>5764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