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1157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95E186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3460C9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拜城县国土资源执法监察大队</w:t>
      </w:r>
    </w:p>
    <w:p w14:paraId="475176D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8A0B25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47F4253">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0A10354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2F1C5D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D1A71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790F3F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B0C543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412A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A50A4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B3F9B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F85AF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3DD48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EBF2C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E47F75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A8D7B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413AF7A">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B1225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1D63FF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E5DD6F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3E0032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D339C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B1E26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238005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A78EC2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51D7CC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317D9B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80717C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4887B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9C80A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96B62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105AE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59BB3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F2CCE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3090EB4">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C2DC273">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B76EC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4B658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428E9C42">
      <w:pPr>
        <w:ind w:firstLine="640" w:firstLineChars="200"/>
        <w:rPr>
          <w:rFonts w:hint="eastAsia" w:ascii="Times New Roman" w:hAnsi="Times New Roman" w:eastAsia="仿宋_GB2312" w:cs="Times New Roman"/>
          <w:color w:val="auto"/>
          <w:kern w:val="2"/>
          <w:sz w:val="32"/>
          <w:szCs w:val="32"/>
          <w:highlight w:val="none"/>
          <w:lang w:val="zh-CN" w:eastAsia="zh-CN" w:bidi="ar-SA"/>
        </w:rPr>
      </w:pPr>
      <w:bookmarkStart w:id="4" w:name="_Toc31238"/>
      <w:bookmarkStart w:id="5" w:name="_Toc2151"/>
      <w:r>
        <w:rPr>
          <w:rFonts w:ascii="仿宋_GB2312" w:eastAsia="仿宋_GB2312"/>
          <w:sz w:val="32"/>
          <w:szCs w:val="32"/>
        </w:rPr>
        <w:t>拜城县国土资源执法监察大队，为自治区自然资源厅下属四级预算单位，参照公务员法管理的事业单位。实行垂直管理，统一履行拜城县区域内国土资源执法监察职能。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3、依法组织和实施拜城县重大土地、矿产资源违法案件的调查、取证、现场勘验工作，并进行查处。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4、负责拜城县重大土地、矿产资源违法案件查处决定的督办。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714424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2BD99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拜城县国土资源执法监察大队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6331C489">
      <w:pPr>
        <w:ind w:firstLine="640" w:firstLineChars="200"/>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144B6741">
      <w:pPr>
        <w:ind w:firstLine="640" w:firstLineChars="200"/>
        <w:rPr>
          <w:rFonts w:hint="eastAsia" w:ascii="仿宋_GB2312" w:hAnsi="宋体" w:eastAsia="仿宋_GB2312" w:cs="宋体"/>
          <w:kern w:val="0"/>
          <w:sz w:val="32"/>
          <w:szCs w:val="32"/>
        </w:rPr>
      </w:pPr>
    </w:p>
    <w:p w14:paraId="7DC40585">
      <w:pPr>
        <w:ind w:firstLine="640" w:firstLineChars="200"/>
        <w:rPr>
          <w:rFonts w:hint="eastAsia" w:ascii="仿宋_GB2312" w:hAnsi="宋体" w:eastAsia="仿宋_GB2312" w:cs="宋体"/>
          <w:kern w:val="0"/>
          <w:sz w:val="32"/>
          <w:szCs w:val="32"/>
        </w:rPr>
      </w:pPr>
    </w:p>
    <w:p w14:paraId="5BDCCB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53F19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762198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154.63万元，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148.38万元，使用非财政拨款结余0.00万元，年初结转和结余6.25万元。</w:t>
      </w:r>
    </w:p>
    <w:p w14:paraId="29A365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154.63万元，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150.78万元，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0.00万元，年末结转和结余3.85万元。</w:t>
      </w:r>
    </w:p>
    <w:p w14:paraId="029331EA">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增加12.69万元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增长8.94%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所以</w:t>
      </w:r>
      <w:r>
        <w:rPr>
          <w:rFonts w:hint="eastAsia" w:ascii="仿宋_GB2312" w:eastAsia="仿宋_GB2312"/>
          <w:color w:val="auto"/>
          <w:spacing w:val="0"/>
          <w:sz w:val="32"/>
          <w:szCs w:val="32"/>
          <w:highlight w:val="none"/>
          <w:lang w:val="en-US" w:eastAsia="zh-CN"/>
        </w:rPr>
        <w:t>收入支出总体与上年相比增加</w:t>
      </w:r>
      <w:r>
        <w:rPr>
          <w:rFonts w:hint="eastAsia" w:ascii="仿宋_GB2312" w:eastAsia="仿宋_GB2312"/>
          <w:sz w:val="32"/>
          <w:szCs w:val="32"/>
        </w:rPr>
        <w:t>。</w:t>
      </w:r>
    </w:p>
    <w:p w14:paraId="1BBCBF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4FB3A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148.38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148.37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5E846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370649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本年支出150.78万元，其中：基本支出122.38万元，占81.16%；项目支出28.40万元，占18.84%；上缴上级支出0.00万元，占0.00%；经营支出0.00万元，占0.00%；对附属单位补助支出0.00万元，占0.00%。</w:t>
      </w:r>
    </w:p>
    <w:p w14:paraId="78000A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358F9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154.62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6.25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148.37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154.62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3.85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150.77</w:t>
      </w:r>
      <w:r>
        <w:rPr>
          <w:rFonts w:hint="eastAsia" w:ascii="仿宋_GB2312" w:eastAsia="仿宋_GB2312"/>
          <w:color w:val="auto"/>
          <w:spacing w:val="0"/>
          <w:sz w:val="32"/>
          <w:szCs w:val="32"/>
          <w:highlight w:val="none"/>
          <w:lang w:eastAsia="zh-CN"/>
        </w:rPr>
        <w:t>万元。</w:t>
      </w:r>
    </w:p>
    <w:p w14:paraId="31E244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增加12.69万元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增长8.94%，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故财政拨款收支增加</w:t>
      </w:r>
      <w:r>
        <w:rPr>
          <w:rFonts w:hint="eastAsia" w:ascii="仿宋_GB2312" w:eastAsia="仿宋_GB2312"/>
          <w:sz w:val="32"/>
          <w:szCs w:val="32"/>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139.69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154.62</w:t>
      </w:r>
      <w:r>
        <w:rPr>
          <w:rFonts w:hint="eastAsia" w:ascii="仿宋_GB2312" w:eastAsia="仿宋_GB2312"/>
          <w:color w:val="auto"/>
          <w:spacing w:val="0"/>
          <w:sz w:val="32"/>
          <w:szCs w:val="32"/>
          <w:highlight w:val="none"/>
          <w:lang w:eastAsia="zh-CN"/>
        </w:rPr>
        <w:t>万元，预决算差异率10.69%，主要原因是：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故财政拨款收支存在</w:t>
      </w:r>
      <w:r>
        <w:rPr>
          <w:rFonts w:hint="eastAsia" w:ascii="仿宋_GB2312" w:eastAsia="仿宋_GB2312"/>
          <w:color w:val="auto"/>
          <w:spacing w:val="0"/>
          <w:sz w:val="32"/>
          <w:szCs w:val="32"/>
          <w:highlight w:val="none"/>
          <w:lang w:eastAsia="zh-CN"/>
        </w:rPr>
        <w:t>预决算差异率</w:t>
      </w:r>
      <w:r>
        <w:rPr>
          <w:rFonts w:hint="eastAsia" w:ascii="仿宋_GB2312" w:eastAsia="仿宋_GB2312"/>
          <w:sz w:val="32"/>
          <w:szCs w:val="32"/>
        </w:rPr>
        <w:t>。</w:t>
      </w:r>
    </w:p>
    <w:p w14:paraId="1F4CDE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4C41E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5D3904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2023年度一般公共预算财政拨款支出150.77万元，占本年支出合计的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增加15.09万元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增长11.12%，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故财政拨款支出增加</w:t>
      </w:r>
      <w:r>
        <w:rPr>
          <w:rFonts w:hint="eastAsia" w:ascii="仿宋_GB2312" w:eastAsia="仿宋_GB2312"/>
          <w:sz w:val="32"/>
          <w:szCs w:val="32"/>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139.69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150.77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7.93%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年度人员工资、津贴等预算资金、上年度绩效考核奖金、调资增资追加预算等经费款项有所调整</w:t>
      </w:r>
      <w:r>
        <w:rPr>
          <w:rFonts w:hint="eastAsia" w:ascii="仿宋_GB2312" w:eastAsia="仿宋_GB2312"/>
          <w:sz w:val="32"/>
          <w:szCs w:val="32"/>
          <w:lang w:eastAsia="zh-CN"/>
        </w:rPr>
        <w:t>，</w:t>
      </w:r>
      <w:r>
        <w:rPr>
          <w:rFonts w:hint="eastAsia" w:ascii="仿宋_GB2312" w:eastAsia="仿宋_GB2312"/>
          <w:sz w:val="32"/>
          <w:szCs w:val="32"/>
          <w:lang w:val="en-US" w:eastAsia="zh-CN"/>
        </w:rPr>
        <w:t>故财政拨款支出存在</w:t>
      </w:r>
      <w:r>
        <w:rPr>
          <w:rFonts w:hint="eastAsia" w:ascii="仿宋_GB2312" w:eastAsia="仿宋_GB2312"/>
          <w:color w:val="auto"/>
          <w:spacing w:val="0"/>
          <w:sz w:val="32"/>
          <w:szCs w:val="32"/>
          <w:highlight w:val="none"/>
          <w:lang w:eastAsia="zh-CN"/>
        </w:rPr>
        <w:t>预决算差异率</w:t>
      </w:r>
      <w:r>
        <w:rPr>
          <w:rFonts w:hint="eastAsia" w:ascii="仿宋_GB2312" w:eastAsia="仿宋_GB2312"/>
          <w:sz w:val="32"/>
          <w:szCs w:val="32"/>
        </w:rPr>
        <w:t>。</w:t>
      </w:r>
    </w:p>
    <w:p w14:paraId="32D8245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0506E2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10.24</w:t>
      </w:r>
      <w:r>
        <w:rPr>
          <w:rFonts w:hint="default" w:ascii="仿宋_GB2312" w:hAnsi="Times New Roman" w:eastAsia="仿宋_GB2312" w:cs="Times New Roman"/>
          <w:color w:val="auto"/>
          <w:spacing w:val="0"/>
          <w:kern w:val="2"/>
          <w:sz w:val="32"/>
          <w:szCs w:val="32"/>
          <w:highlight w:val="none"/>
          <w:lang w:val="zh-CN" w:eastAsia="zh-CN" w:bidi="ar-SA"/>
        </w:rPr>
        <w:t>%；</w:t>
      </w:r>
    </w:p>
    <w:p w14:paraId="65FBE8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6.75</w:t>
      </w:r>
      <w:r>
        <w:rPr>
          <w:rFonts w:hint="default" w:ascii="仿宋_GB2312" w:hAnsi="Times New Roman" w:eastAsia="仿宋_GB2312" w:cs="Times New Roman"/>
          <w:color w:val="auto"/>
          <w:spacing w:val="0"/>
          <w:kern w:val="2"/>
          <w:sz w:val="32"/>
          <w:szCs w:val="32"/>
          <w:highlight w:val="none"/>
          <w:lang w:val="zh-CN" w:eastAsia="zh-CN" w:bidi="ar-SA"/>
        </w:rPr>
        <w:t>%；</w:t>
      </w:r>
    </w:p>
    <w:p w14:paraId="2BA044C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117.03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77.62</w:t>
      </w:r>
      <w:r>
        <w:rPr>
          <w:rFonts w:hint="default" w:ascii="仿宋_GB2312" w:hAnsi="Times New Roman" w:eastAsia="仿宋_GB2312" w:cs="Times New Roman"/>
          <w:color w:val="auto"/>
          <w:spacing w:val="0"/>
          <w:kern w:val="2"/>
          <w:sz w:val="32"/>
          <w:szCs w:val="32"/>
          <w:highlight w:val="none"/>
          <w:lang w:val="zh-CN" w:eastAsia="zh-CN" w:bidi="ar-SA"/>
        </w:rPr>
        <w:t>%；</w:t>
      </w:r>
    </w:p>
    <w:p w14:paraId="7227073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5.39</w:t>
      </w:r>
      <w:r>
        <w:rPr>
          <w:rFonts w:hint="default" w:ascii="仿宋_GB2312" w:hAnsi="Times New Roman" w:eastAsia="仿宋_GB2312" w:cs="Times New Roman"/>
          <w:color w:val="auto"/>
          <w:spacing w:val="0"/>
          <w:kern w:val="2"/>
          <w:sz w:val="32"/>
          <w:szCs w:val="32"/>
          <w:highlight w:val="none"/>
          <w:lang w:val="zh-CN" w:eastAsia="zh-CN" w:bidi="ar-SA"/>
        </w:rPr>
        <w:t>%；</w:t>
      </w:r>
    </w:p>
    <w:p w14:paraId="0B2B99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D3E173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52.20%，主要原因是：</w:t>
      </w:r>
      <w:r>
        <w:rPr>
          <w:rFonts w:hint="eastAsia" w:ascii="仿宋_GB2312" w:eastAsia="仿宋_GB2312"/>
          <w:sz w:val="32"/>
          <w:szCs w:val="32"/>
          <w:lang w:val="en-US" w:eastAsia="zh-CN"/>
        </w:rPr>
        <w:t>拜城县</w:t>
      </w:r>
      <w:r>
        <w:rPr>
          <w:rFonts w:hint="eastAsia" w:ascii="仿宋_GB2312" w:eastAsia="仿宋_GB2312"/>
          <w:sz w:val="32"/>
          <w:szCs w:val="32"/>
        </w:rPr>
        <w:t>国土资源执法监察大队本年度工资基数增加，行政医疗缴费基数增大，所以行政医疗支出加大。</w:t>
      </w:r>
    </w:p>
    <w:p w14:paraId="0E251DC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70.87%，主要原因是：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14:paraId="6C0F6D9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3.自然资源海洋气象等支出（类）自然资源事务（款）其他自然资源事务支出（项）:支出决算数为28.40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16.34%，主要原因是：</w:t>
      </w:r>
      <w:r>
        <w:rPr>
          <w:rFonts w:hint="eastAsia" w:eastAsia="仿宋_GB2312" w:cs="Times New Roman"/>
          <w:color w:val="auto"/>
          <w:kern w:val="2"/>
          <w:sz w:val="32"/>
          <w:szCs w:val="32"/>
          <w:highlight w:val="none"/>
          <w:lang w:val="en-US" w:eastAsia="zh-CN" w:bidi="ar-SA"/>
        </w:rPr>
        <w:t>拜城县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r>
        <w:rPr>
          <w:rFonts w:hint="eastAsia" w:ascii="仿宋_GB2312" w:eastAsia="仿宋_GB2312"/>
          <w:sz w:val="32"/>
          <w:szCs w:val="32"/>
          <w:lang w:val="en-US" w:eastAsia="zh-CN"/>
        </w:rPr>
        <w:t>厉行节约，压减经费，故</w:t>
      </w:r>
      <w:r>
        <w:rPr>
          <w:rFonts w:hint="eastAsia" w:ascii="Times New Roman" w:hAnsi="Times New Roman" w:eastAsia="仿宋_GB2312" w:cs="Times New Roman"/>
          <w:color w:val="auto"/>
          <w:kern w:val="2"/>
          <w:sz w:val="32"/>
          <w:szCs w:val="32"/>
          <w:highlight w:val="none"/>
          <w:lang w:val="en-US" w:eastAsia="zh-CN" w:bidi="ar-SA"/>
        </w:rPr>
        <w:t>其他自然资源事务支出</w:t>
      </w:r>
      <w:r>
        <w:rPr>
          <w:rFonts w:hint="eastAsia" w:eastAsia="仿宋_GB2312" w:cs="Times New Roman"/>
          <w:color w:val="auto"/>
          <w:kern w:val="2"/>
          <w:sz w:val="32"/>
          <w:szCs w:val="32"/>
          <w:highlight w:val="none"/>
          <w:lang w:val="en-US" w:eastAsia="zh-CN" w:bidi="ar-SA"/>
        </w:rPr>
        <w:t>减少。</w:t>
      </w:r>
    </w:p>
    <w:p w14:paraId="0FB33E60">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4.自然资源海洋气象等支出（类）自然资源事务（款）行政运行（项）:支出决算数为88.63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14.67%，主要原因是：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14:paraId="15DE7F9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5.住房保障支出（类）住房改革支出（款）住房公积金（项）:支出决算数为8.13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65.26%，主要原因是：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14:paraId="4304AFBE">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24.48%，主要原因是：</w:t>
      </w:r>
      <w:r>
        <w:rPr>
          <w:rFonts w:hint="eastAsia" w:ascii="仿宋_GB2312" w:eastAsia="仿宋_GB2312"/>
          <w:sz w:val="32"/>
          <w:szCs w:val="32"/>
          <w:lang w:val="en-US" w:eastAsia="zh-CN"/>
        </w:rPr>
        <w:t>退休人员的医疗费经财政收回，故行政单位离退休减少</w:t>
      </w:r>
      <w:r>
        <w:rPr>
          <w:rFonts w:hint="eastAsia" w:eastAsia="仿宋_GB2312" w:cs="Times New Roman"/>
          <w:color w:val="auto"/>
          <w:kern w:val="2"/>
          <w:sz w:val="32"/>
          <w:szCs w:val="32"/>
          <w:highlight w:val="none"/>
          <w:lang w:val="zh-CN" w:eastAsia="zh-CN" w:bidi="ar-SA"/>
        </w:rPr>
        <w:t>。</w:t>
      </w:r>
    </w:p>
    <w:p w14:paraId="3AB28366">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67.31%，主要原因是：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年度在职人员岗位调整，职务职级调整，缴费基数增加。</w:t>
      </w:r>
    </w:p>
    <w:p w14:paraId="637F3F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8C93D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122.37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115.35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生活补助、其他对个人和家庭的补助。</w:t>
      </w:r>
    </w:p>
    <w:p w14:paraId="5A58809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7.02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14:paraId="335CB0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40EFDF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14:paraId="0A80B1C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A332E3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79C9DC4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ascii="仿宋_GB2312" w:eastAsia="仿宋_GB2312"/>
          <w:sz w:val="32"/>
          <w:szCs w:val="32"/>
        </w:rPr>
        <w:t>我单位无公务用车购置及运行维护费</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14:paraId="3829C2A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14:paraId="48FD5684">
      <w:pPr>
        <w:ind w:firstLine="640" w:firstLineChars="200"/>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14:paraId="47303B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D7E98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008C4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BDF63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5DDF30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73019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5D62893">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拜城县国土资源执法监察大队（行政单位和参照公务员法管理事业单位）机关运行经费支出7.02万元，比上年增加1.26万元，增长21.82%,主要原因是：</w:t>
      </w:r>
      <w:r>
        <w:rPr>
          <w:rFonts w:hint="eastAsia" w:ascii="仿宋_GB2312" w:eastAsia="仿宋_GB2312"/>
          <w:sz w:val="32"/>
          <w:szCs w:val="32"/>
          <w:lang w:val="en-US" w:eastAsia="zh-CN"/>
        </w:rPr>
        <w:t>拜城</w:t>
      </w:r>
      <w:r>
        <w:rPr>
          <w:rFonts w:hint="eastAsia" w:ascii="仿宋_GB2312" w:eastAsia="仿宋_GB2312"/>
          <w:sz w:val="32"/>
          <w:szCs w:val="32"/>
        </w:rPr>
        <w:t>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14:paraId="34EFB6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778DB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23B773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E59BB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279AD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57.16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屋93.5平方米，价值20.94万元。车辆1辆，价值19.52万元，其中：副部（省）级及以上领导用车0辆、主要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2D9BC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1902A6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434E2E2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2B466B3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65EEA3F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B244C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D1E35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EC28DC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46C551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C7D982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B906E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525CEC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C4598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1BAEE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E6B0F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DEC20E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D1B878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4068D8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68AB5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064EFB2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28EDB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D5F01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055838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FB8F1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6560C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698497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04A3D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C6BAD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4099D1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82FF6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188153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2D583D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CE81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C30A3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C30A3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32A20"/>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256D0E"/>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F17323"/>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DE315C"/>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440A1D"/>
    <w:rsid w:val="609E0C46"/>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B44070"/>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3C293D"/>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4A439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6084</Words>
  <Characters>6708</Characters>
  <Lines>0</Lines>
  <Paragraphs>0</Paragraphs>
  <TotalTime>0</TotalTime>
  <ScaleCrop>false</ScaleCrop>
  <LinksUpToDate>false</LinksUpToDate>
  <CharactersWithSpaces>6730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2024-09-02T02:43:52Z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