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阿克苏地区国土资源执法监察支队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阿克苏地区国土资源执法监察支队，为自治区自然资源厅下属三级预算单位，参照公务员法管理的事业单位。实行垂直管理，统一履行阿克苏地区区域内国土资源执法监察职能。</w:t>
      </w:r>
    </w:p>
    <w:p>
      <w:pPr>
        <w:ind w:firstLine="640" w:firstLineChars="200"/>
        <w:rPr>
          <w:rFonts w:hint="eastAsia" w:ascii="仿宋_GB2312" w:eastAsia="仿宋_GB2312"/>
          <w:sz w:val="32"/>
          <w:szCs w:val="32"/>
          <w:lang w:eastAsia="zh-CN"/>
        </w:rPr>
      </w:pPr>
      <w:r>
        <w:rPr>
          <w:rFonts w:ascii="仿宋_GB2312" w:eastAsia="仿宋_GB2312"/>
          <w:sz w:val="32"/>
          <w:szCs w:val="32"/>
        </w:rPr>
        <w:t>1、宣传和贯彻执行国家、自治区有关土地、矿产资源的法律、法规、规章和政策。</w:t>
      </w:r>
    </w:p>
    <w:p>
      <w:pPr>
        <w:ind w:firstLine="640" w:firstLineChars="200"/>
        <w:rPr>
          <w:rFonts w:hint="eastAsia" w:ascii="仿宋_GB2312" w:eastAsia="仿宋_GB2312"/>
          <w:sz w:val="32"/>
          <w:szCs w:val="32"/>
          <w:lang w:eastAsia="zh-CN"/>
        </w:rPr>
      </w:pPr>
      <w:r>
        <w:rPr>
          <w:rFonts w:ascii="仿宋_GB2312" w:eastAsia="仿宋_GB2312"/>
          <w:sz w:val="32"/>
          <w:szCs w:val="32"/>
        </w:rPr>
        <w:t>2、组织和实施对全地区执行土地、矿产资源法律、法规、规章情况的巡查，及时发现和制止土地、矿产资源违法行为。</w:t>
      </w:r>
    </w:p>
    <w:p>
      <w:pPr>
        <w:ind w:firstLine="640" w:firstLineChars="200"/>
        <w:rPr>
          <w:rFonts w:hint="eastAsia" w:ascii="仿宋_GB2312" w:eastAsia="仿宋_GB2312"/>
          <w:sz w:val="32"/>
          <w:szCs w:val="32"/>
          <w:lang w:eastAsia="zh-CN"/>
        </w:rPr>
      </w:pPr>
      <w:r>
        <w:rPr>
          <w:rFonts w:ascii="仿宋_GB2312" w:eastAsia="仿宋_GB2312"/>
          <w:sz w:val="32"/>
          <w:szCs w:val="32"/>
        </w:rPr>
        <w:t>3、依法组织和实施阿克苏地区重大土地、矿产资源违法案件的调查、取证、现场勘验工作，并进行查处。</w:t>
      </w:r>
    </w:p>
    <w:p>
      <w:pPr>
        <w:ind w:firstLine="640" w:firstLineChars="200"/>
        <w:rPr>
          <w:rFonts w:hint="eastAsia" w:ascii="仿宋_GB2312" w:eastAsia="仿宋_GB2312"/>
          <w:sz w:val="32"/>
          <w:szCs w:val="32"/>
          <w:lang w:eastAsia="zh-CN"/>
        </w:rPr>
      </w:pPr>
      <w:r>
        <w:rPr>
          <w:rFonts w:ascii="仿宋_GB2312" w:eastAsia="仿宋_GB2312"/>
          <w:sz w:val="32"/>
          <w:szCs w:val="32"/>
        </w:rPr>
        <w:t>4、负责阿克苏地区重大土地、矿产资源违法案件查处决定的督办。</w:t>
      </w:r>
    </w:p>
    <w:p>
      <w:pPr>
        <w:ind w:firstLine="640" w:firstLineChars="200"/>
        <w:rPr>
          <w:rFonts w:ascii="黑体" w:hAnsi="黑体" w:eastAsia="黑体" w:cs="宋体"/>
          <w:bCs/>
          <w:kern w:val="0"/>
          <w:sz w:val="32"/>
          <w:szCs w:val="32"/>
        </w:rPr>
      </w:pPr>
      <w:r>
        <w:rPr>
          <w:rFonts w:ascii="仿宋_GB2312" w:eastAsia="仿宋_GB2312"/>
          <w:sz w:val="32"/>
          <w:szCs w:val="32"/>
        </w:rPr>
        <w:t>5、完成自治区国土资源执法监察总队、支队和当地党委政府交办的其他工作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阿克苏地区国土资源执法监察支队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从部门决算单位构成看，新疆维吾尔自治区阿克苏地区国土资源执法监察支队部门决算包括：新疆维吾尔自治区阿克苏地区国土资源执法监察支队部门本级决算及所属单位决算。</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新疆维吾尔自治区阿克苏地区国土资源执法监察支队</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个处室，分别是：办公室、土地执法科、矿产执法科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纳入新疆维吾尔自治区阿克苏地区国土资源执法监察支队</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年度部门决算编制范围的单位名单见下表：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w:t>
      </w:r>
      <w:r>
        <w:rPr>
          <w:rFonts w:hint="eastAsia" w:ascii="仿宋_GB2312" w:eastAsia="仿宋_GB2312"/>
          <w:sz w:val="32"/>
          <w:szCs w:val="32"/>
        </w:rPr>
        <w:t>阿克苏地区国土资源执法监察支队</w:t>
      </w:r>
      <w:r>
        <w:rPr>
          <w:rFonts w:hint="eastAsia" w:ascii="仿宋_GB2312" w:eastAsia="仿宋_GB2312"/>
          <w:sz w:val="32"/>
          <w:szCs w:val="32"/>
          <w:lang w:eastAsia="zh-CN"/>
        </w:rPr>
        <w:t>（</w:t>
      </w:r>
      <w:r>
        <w:rPr>
          <w:rFonts w:hint="eastAsia" w:ascii="仿宋_GB2312" w:eastAsia="仿宋_GB2312"/>
          <w:sz w:val="32"/>
          <w:szCs w:val="32"/>
          <w:lang w:val="en-US" w:eastAsia="zh-CN"/>
        </w:rPr>
        <w:t>本级</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r>
        <w:rPr>
          <w:rFonts w:hint="default" w:ascii="仿宋_GB2312" w:eastAsia="仿宋_GB2312"/>
          <w:color w:val="auto"/>
          <w:spacing w:val="0"/>
          <w:sz w:val="32"/>
          <w:szCs w:val="32"/>
          <w:highlight w:val="none"/>
          <w:lang w:val="en-US" w:eastAsia="zh-CN"/>
        </w:rPr>
        <w:t>2.</w:t>
      </w:r>
      <w:r>
        <w:rPr>
          <w:rFonts w:hint="eastAsia" w:ascii="仿宋_GB2312" w:eastAsia="仿宋_GB2312"/>
          <w:sz w:val="32"/>
          <w:szCs w:val="32"/>
        </w:rPr>
        <w:t>阿克苏</w:t>
      </w:r>
      <w:r>
        <w:rPr>
          <w:rFonts w:hint="eastAsia" w:ascii="仿宋_GB2312" w:eastAsia="仿宋_GB2312"/>
          <w:sz w:val="32"/>
          <w:szCs w:val="32"/>
          <w:lang w:val="en-US" w:eastAsia="zh-CN"/>
        </w:rPr>
        <w:t>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3.温宿县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4.库车市</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5.拜城县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6.阿瓦提县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7.乌什县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8.沙雅县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9.新和县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10.柯坪县</w:t>
      </w:r>
      <w:r>
        <w:rPr>
          <w:rFonts w:hint="eastAsia" w:ascii="仿宋_GB2312" w:eastAsia="仿宋_GB2312"/>
          <w:sz w:val="32"/>
          <w:szCs w:val="32"/>
        </w:rPr>
        <w:t>国土资源执法监察</w:t>
      </w:r>
      <w:r>
        <w:rPr>
          <w:rFonts w:hint="eastAsia" w:ascii="仿宋_GB2312" w:eastAsia="仿宋_GB2312"/>
          <w:sz w:val="32"/>
          <w:szCs w:val="32"/>
          <w:lang w:val="en-US" w:eastAsia="zh-CN"/>
        </w:rPr>
        <w:t>大</w:t>
      </w:r>
      <w:r>
        <w:rPr>
          <w:rFonts w:hint="eastAsia" w:ascii="仿宋_GB2312" w:eastAsia="仿宋_GB2312"/>
          <w:sz w:val="32"/>
          <w:szCs w:val="32"/>
        </w:rPr>
        <w:t>队</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1,521.47万元，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1,450.44万元，使用非财政拨款结余0.00万元，年初结转和结余71.03万元。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1,521.47万元，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1,487.25万元，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0.00万元，年末结转和结余34.22万元。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增加7.58万元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增长0.50%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年度职级晋升调整，人员工资调整，且津贴预算款、上年度绩效考核奖金等有所增加，全年拨款增加，所以</w:t>
      </w: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sz w:val="32"/>
          <w:szCs w:val="32"/>
        </w:rPr>
        <w:t>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1,450.44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1,450.30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本年支出1,487.25万元，其中：基本支出1,130.44万元，占76.01%；项目支出356.81万元，占23.99%；上缴上级支出0.00万元，占0.00%；经营支出0.00万元，占0.00%；对附属单位补助支出0.00万元，占0.00%。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1,521.33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71.03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1,450.30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1,521.33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34.22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1,487.10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增加47.03万元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增长3.19%，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年度职级晋升调整，人员工资调整，且津贴预算款、上年度绩效考核奖金等有所增加，全年拨款增加，所以本年收入增加。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1,346.88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1,521.33</w:t>
      </w:r>
      <w:r>
        <w:rPr>
          <w:rFonts w:hint="eastAsia" w:ascii="仿宋_GB2312" w:eastAsia="仿宋_GB2312"/>
          <w:color w:val="auto"/>
          <w:spacing w:val="0"/>
          <w:sz w:val="32"/>
          <w:szCs w:val="32"/>
          <w:highlight w:val="none"/>
          <w:lang w:eastAsia="zh-CN"/>
        </w:rPr>
        <w:t>万元，预决算差异率12.95%，主要原因是：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年度职级晋升调整，人员工资调整，且津贴预算款、上年度绩效考核奖金等有所增加，全年拨款增加，所以</w:t>
      </w:r>
      <w:r>
        <w:rPr>
          <w:rFonts w:hint="eastAsia" w:ascii="仿宋_GB2312" w:eastAsia="仿宋_GB2312"/>
          <w:sz w:val="32"/>
          <w:szCs w:val="32"/>
          <w:lang w:val="en-US" w:eastAsia="zh-CN"/>
        </w:rPr>
        <w:t>存在</w:t>
      </w:r>
      <w:r>
        <w:rPr>
          <w:rFonts w:hint="eastAsia" w:ascii="仿宋_GB2312" w:eastAsia="仿宋_GB2312"/>
          <w:color w:val="auto"/>
          <w:spacing w:val="0"/>
          <w:sz w:val="32"/>
          <w:szCs w:val="32"/>
          <w:highlight w:val="none"/>
          <w:lang w:eastAsia="zh-CN"/>
        </w:rPr>
        <w:t>预决算差异率</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2023年度一般公共预算财政拨款支出1,487.10万元，占本年支出合计的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增加83.83万元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增长5.97%，</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年度职级晋升调整，人员工资调整，且津贴预算款、上年度绩效考核奖金等有所增加，全年拨款增加，所以本年</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1,346.88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1,487.10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10.41%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年度职级晋升调整，人员工资调整，且津贴预算款、上年度绩效考核奖金等有所增加，全年拨款增加，所以</w:t>
      </w:r>
      <w:r>
        <w:rPr>
          <w:rFonts w:hint="eastAsia" w:ascii="仿宋_GB2312" w:eastAsia="仿宋_GB2312"/>
          <w:sz w:val="32"/>
          <w:szCs w:val="32"/>
          <w:lang w:val="en-US" w:eastAsia="zh-CN"/>
        </w:rPr>
        <w:t>存在</w:t>
      </w:r>
      <w:r>
        <w:rPr>
          <w:rFonts w:hint="eastAsia" w:ascii="仿宋_GB2312" w:eastAsia="仿宋_GB2312"/>
          <w:color w:val="auto"/>
          <w:spacing w:val="0"/>
          <w:sz w:val="32"/>
          <w:szCs w:val="32"/>
          <w:highlight w:val="none"/>
          <w:lang w:eastAsia="zh-CN"/>
        </w:rPr>
        <w:t>预决算差异率</w:t>
      </w:r>
      <w:r>
        <w:rPr>
          <w:rFonts w:hint="eastAsia" w:ascii="仿宋_GB2312" w:eastAsia="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157.11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10.56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91.83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1,165.71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78.39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72.45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1.卫生健康支出（类）行政事业单位医疗（款）行政单位医疗（项）:支出决算数为48.98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15.19%，主要原因是：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年度人员职位职级调整，岗位调动，工资增加，使缴费基数随之增加，所以</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ascii="仿宋_GB2312" w:eastAsia="仿宋_GB2312"/>
          <w:sz w:val="32"/>
          <w:szCs w:val="32"/>
        </w:rPr>
        <w:t>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2.卫生健康支出（类）行政事业单位医疗（款）公务员医疗补助（项）:支出决算数为42.85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29.57%，主要原因是：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年度人员职位职级调整，岗位调动，工资增加，使缴费基数随之增加，所以</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仿宋_GB2312" w:eastAsia="仿宋_GB2312"/>
          <w:sz w:val="32"/>
          <w:szCs w:val="32"/>
        </w:rPr>
        <w:t>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3.自然资源海洋气象等支出（类）自然资源事务（款）其他自然资源事务支出（项）:支出决算数为356.81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5.72%，主要原因是：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年度人员人数增加，工资增加，所以</w:t>
      </w:r>
      <w:r>
        <w:rPr>
          <w:rFonts w:hint="eastAsia" w:ascii="Times New Roman" w:hAnsi="Times New Roman" w:eastAsia="仿宋_GB2312" w:cs="Times New Roman"/>
          <w:color w:val="auto"/>
          <w:kern w:val="2"/>
          <w:sz w:val="32"/>
          <w:szCs w:val="32"/>
          <w:highlight w:val="none"/>
          <w:lang w:val="en-US" w:eastAsia="zh-CN" w:bidi="ar-SA"/>
        </w:rPr>
        <w:t>其他自然资源事务</w:t>
      </w:r>
      <w:r>
        <w:rPr>
          <w:rFonts w:hint="eastAsia" w:ascii="仿宋_GB2312" w:eastAsia="仿宋_GB2312"/>
          <w:sz w:val="32"/>
          <w:szCs w:val="32"/>
        </w:rPr>
        <w:t>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4.自然资源海洋气象等支出（类）自然资源事务（款）行政运行（项）:支出决算数为808.91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2.49%，主要原因是：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年度人员职位职级调整，岗位调动，工资增加</w:t>
      </w:r>
      <w:bookmarkStart w:id="48" w:name="_GoBack"/>
      <w:bookmarkEnd w:id="48"/>
      <w:r>
        <w:rPr>
          <w:rFonts w:hint="eastAsia" w:ascii="仿宋_GB2312" w:eastAsia="仿宋_GB2312"/>
          <w:sz w:val="32"/>
          <w:szCs w:val="32"/>
        </w:rPr>
        <w:t>，所以</w:t>
      </w:r>
      <w:r>
        <w:rPr>
          <w:rFonts w:hint="eastAsia" w:ascii="Times New Roman" w:hAnsi="Times New Roman" w:eastAsia="仿宋_GB2312" w:cs="Times New Roman"/>
          <w:color w:val="auto"/>
          <w:kern w:val="2"/>
          <w:sz w:val="32"/>
          <w:szCs w:val="32"/>
          <w:highlight w:val="none"/>
          <w:lang w:val="en-US" w:eastAsia="zh-CN" w:bidi="ar-SA"/>
        </w:rPr>
        <w:t>行政运行</w:t>
      </w:r>
      <w:r>
        <w:rPr>
          <w:rFonts w:hint="eastAsia" w:ascii="仿宋_GB2312" w:eastAsia="仿宋_GB2312"/>
          <w:sz w:val="32"/>
          <w:szCs w:val="32"/>
        </w:rPr>
        <w:t>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5.住房保障支出（类）住房改革支出（款）住房公积金（项）:支出决算数为72.45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23.50%，主要原因是：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年度人员职位职级调整，岗位调动，工资增加，使缴费基数随之增加，所以</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sz w:val="32"/>
          <w:szCs w:val="32"/>
        </w:rPr>
        <w:t>缴费支出增加。</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6.社会保障和就业支出（类）行政事业单位养老支出（款）行政单位离退休（项）:支出决算数为49.96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16.70%，主要原因是：</w:t>
      </w:r>
      <w:r>
        <w:rPr>
          <w:rFonts w:hint="eastAsia" w:ascii="仿宋_GB2312" w:eastAsia="仿宋_GB2312"/>
          <w:sz w:val="32"/>
          <w:szCs w:val="32"/>
          <w:lang w:val="en-US" w:eastAsia="zh-CN"/>
        </w:rPr>
        <w:t>退休人员的医疗费经财政收回，故行政单位离退休减少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7.社会保障和就业支出（类）行政事业单位养老支出（款）机关事业单位职业年金缴费支出（项）:支出决算数为18.24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60.76%，主要原因是：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3年8月在职转退休1人，故职业年金支出增加。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8.社会保障和就业支出（类）行政事业单位养老支出（款）机关事业单位基本养老保险缴费支出（项）:支出决算数为88.90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25.34%，主要原因是：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年度人员职位职级调整，岗位调动，工资增加，使缴费基数随之增加，所以机关事业单位基本养老保险缴费支出增加。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1,130.30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1,055.48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74.82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lang w:val="en-US" w:eastAsia="zh-CN"/>
        </w:rPr>
      </w:pPr>
      <w:bookmarkStart w:id="18" w:name="_Toc5810"/>
      <w:bookmarkStart w:id="19" w:name="_Toc79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yellow"/>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我单位固定资产车辆均不属于公务用车，使用其他交通费，支付燃油及维修费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阿克苏地区国土资源执法监察支队（行政单位和参照公务员法管理事业单位）机关运行经费支出74.82万元，比上年增加0.47万元，增长0.63%,主要原因是：</w:t>
      </w:r>
      <w:r>
        <w:rPr>
          <w:rFonts w:hint="eastAsia" w:ascii="仿宋_GB2312" w:eastAsia="仿宋_GB2312"/>
          <w:sz w:val="32"/>
          <w:szCs w:val="32"/>
        </w:rPr>
        <w:t>阿克苏地区国土资源执法监察支队202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val="en-US" w:eastAsia="zh-CN"/>
        </w:rPr>
        <w:t>加大执法监督力度，使得</w:t>
      </w:r>
      <w:r>
        <w:rPr>
          <w:rFonts w:hint="eastAsia" w:ascii="Times New Roman" w:hAnsi="Times New Roman" w:eastAsia="仿宋_GB2312" w:cs="Times New Roman"/>
          <w:color w:val="auto"/>
          <w:sz w:val="32"/>
          <w:szCs w:val="32"/>
          <w:highlight w:val="none"/>
          <w:lang w:val="en-US" w:eastAsia="zh-CN"/>
        </w:rPr>
        <w:t>机关运行经费</w:t>
      </w:r>
      <w:r>
        <w:rPr>
          <w:rFonts w:hint="eastAsia" w:ascii="仿宋_GB2312" w:eastAsia="仿宋_GB2312"/>
          <w:sz w:val="32"/>
          <w:szCs w:val="32"/>
        </w:rPr>
        <w:t>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901.69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屋919.7平方米，价值229.93万元。车辆21辆，价值429.25万元，其中：副部（省）级及以上领导用车0辆、主要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用车0辆、其他用车11辆，其他用车主要是：</w:t>
      </w:r>
      <w:r>
        <w:rPr>
          <w:rFonts w:hint="eastAsia" w:ascii="仿宋_GB2312" w:eastAsia="仿宋_GB2312"/>
          <w:sz w:val="32"/>
          <w:szCs w:val="32"/>
          <w:lang w:val="en-US" w:eastAsia="zh-CN"/>
        </w:rPr>
        <w:t>一般业务用车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default" w:ascii="仿宋_GB2312" w:eastAsia="仿宋_GB2312"/>
          <w:color w:val="auto"/>
          <w:sz w:val="32"/>
          <w:szCs w:val="32"/>
          <w:highlight w:val="none"/>
          <w:lang w:val="en-U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615490"/>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870451"/>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01142"/>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32560"/>
    <w:rsid w:val="414B3C0F"/>
    <w:rsid w:val="417C1CE7"/>
    <w:rsid w:val="41900018"/>
    <w:rsid w:val="41944406"/>
    <w:rsid w:val="41CE128F"/>
    <w:rsid w:val="41DA6F12"/>
    <w:rsid w:val="42171FB1"/>
    <w:rsid w:val="4268685E"/>
    <w:rsid w:val="429278DD"/>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A2327"/>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3675EA"/>
    <w:rsid w:val="5F61632C"/>
    <w:rsid w:val="5FA17648"/>
    <w:rsid w:val="5FE705CB"/>
    <w:rsid w:val="5FF8583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293999"/>
    <w:rsid w:val="655D2975"/>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495AA8"/>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6654</Words>
  <Characters>7382</Characters>
  <Lines>0</Lines>
  <Paragraphs>0</Paragraphs>
  <TotalTime>4</TotalTime>
  <ScaleCrop>false</ScaleCrop>
  <LinksUpToDate>false</LinksUpToDate>
  <CharactersWithSpaces>7394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2024-09-07T14:59:52Z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