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EEA3A">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64AEA79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17AF9A7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吉木乃县国土资源执法监察大队</w:t>
      </w:r>
    </w:p>
    <w:p w14:paraId="60B3069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30091A0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5FC2BBC7">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07AC9E02">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0A48734B">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4007317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71ABBA3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428C46C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40DC354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2E96A37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6C724DF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45E5893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9FBE74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21D3CF8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171DF9A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DD979D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6225E3BF">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271595D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42834E9">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4ADFD474">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6E7BEBE1">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7697459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7D1F66C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035284C8">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55C62D0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4714030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19947EE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6F824E3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5772FED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68A4E23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53768F8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204831D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791B61D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6A16A1A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0A58EAFD">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6C8992AD">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0E9B0CF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67CC805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396F522D">
      <w:pPr>
        <w:ind w:firstLine="640" w:firstLineChars="200"/>
        <w:rPr>
          <w:rFonts w:hint="eastAsia" w:ascii="仿宋_GB2312" w:eastAsia="仿宋_GB2312"/>
          <w:color w:val="auto"/>
          <w:sz w:val="32"/>
          <w:szCs w:val="32"/>
          <w:highlight w:val="none"/>
        </w:rPr>
      </w:pPr>
      <w:r>
        <w:rPr>
          <w:rFonts w:ascii="仿宋_GB2312" w:eastAsia="仿宋_GB2312"/>
          <w:sz w:val="32"/>
          <w:szCs w:val="32"/>
        </w:rPr>
        <w:t>吉木乃县国土资源执法监察大队，为副科级垂直管理单位，履行吉木乃县国土资源执法监察职能，是参照国家公务员法管理的事业单位。</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2、组织和实施对吉木乃县执行土地、矿产资源法律、法规、规章情况的巡查，及时发现和制止土地、矿产资源违法行为。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3、依法组织和实施吉木乃县重大土地、矿产资源违法案件的调查、取证、现场勘验工作，并进行查处。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4、完成上级管理部门交办的其他工作</w:t>
      </w:r>
      <w:r>
        <w:rPr>
          <w:rFonts w:hint="eastAsia" w:ascii="仿宋_GB2312" w:eastAsia="仿宋_GB2312"/>
          <w:sz w:val="32"/>
          <w:szCs w:val="32"/>
        </w:rPr>
        <w:t>。</w:t>
      </w:r>
    </w:p>
    <w:p w14:paraId="6AD26B7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38089E1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吉木乃县国土资源执法监察大队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p>
    <w:p w14:paraId="2DA99EEE">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lang w:val="en-US" w:eastAsia="zh-CN"/>
        </w:rPr>
        <w:t>本</w:t>
      </w:r>
      <w:r>
        <w:rPr>
          <w:rFonts w:hint="eastAsia" w:ascii="仿宋_GB2312" w:hAnsi="黑体" w:eastAsia="仿宋_GB2312" w:cs="宋体"/>
          <w:bCs/>
          <w:color w:val="auto"/>
          <w:kern w:val="0"/>
          <w:sz w:val="32"/>
          <w:szCs w:val="32"/>
          <w:highlight w:val="none"/>
        </w:rPr>
        <w:t>单位无下属预算单位，</w:t>
      </w:r>
      <w:r>
        <w:rPr>
          <w:rFonts w:hint="eastAsia" w:ascii="仿宋_GB2312" w:hAnsi="黑体" w:eastAsia="仿宋_GB2312" w:cs="宋体"/>
          <w:bCs/>
          <w:kern w:val="0"/>
          <w:sz w:val="32"/>
          <w:szCs w:val="32"/>
        </w:rPr>
        <w:t>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val="en-US" w:eastAsia="zh-CN"/>
        </w:rPr>
        <w:t>室</w:t>
      </w:r>
      <w:r>
        <w:rPr>
          <w:rFonts w:hint="eastAsia" w:ascii="仿宋_GB2312" w:hAnsi="宋体" w:eastAsia="仿宋_GB2312" w:cs="宋体"/>
          <w:kern w:val="0"/>
          <w:sz w:val="32"/>
          <w:szCs w:val="32"/>
        </w:rPr>
        <w:t>。</w:t>
      </w:r>
    </w:p>
    <w:p w14:paraId="5B1E378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301856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0454DCA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105.85万元，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99.80万元，使用非财政拨款结余0.00万元，年初结转和结余6.06万元。</w:t>
      </w:r>
    </w:p>
    <w:p w14:paraId="68B719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105.85万元，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105.84万元，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0.00万元，年末结转和结余0.01万元。</w:t>
      </w:r>
    </w:p>
    <w:p w14:paraId="12E3452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减少15.52万元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下降12.78%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w:t>
      </w:r>
      <w:r>
        <w:rPr>
          <w:rFonts w:hint="eastAsia" w:eastAsia="仿宋_GB2312" w:cs="Times New Roman"/>
          <w:color w:val="auto"/>
          <w:kern w:val="2"/>
          <w:sz w:val="32"/>
          <w:szCs w:val="32"/>
          <w:highlight w:val="none"/>
          <w:lang w:val="zh-CN" w:eastAsia="zh-CN" w:bidi="ar-SA"/>
        </w:rPr>
        <w:t>根据新财社【</w:t>
      </w:r>
      <w:r>
        <w:rPr>
          <w:rFonts w:hint="eastAsia" w:eastAsia="仿宋_GB2312" w:cs="Times New Roman"/>
          <w:color w:val="auto"/>
          <w:kern w:val="2"/>
          <w:sz w:val="32"/>
          <w:szCs w:val="32"/>
          <w:highlight w:val="none"/>
          <w:lang w:val="en-US" w:eastAsia="zh-CN" w:bidi="ar-SA"/>
        </w:rPr>
        <w:t>2023</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168号文件，当地医保局对退休人员的医疗补助缴费退回缴纳单位，并由缴费单位退回至自治区财政。二是2022年末在职退休2人，2023年年初预算减少，支出减少；以上导致</w:t>
      </w:r>
      <w:r>
        <w:rPr>
          <w:rFonts w:hint="eastAsia" w:ascii="仿宋_GB2312" w:eastAsia="仿宋_GB2312"/>
          <w:color w:val="auto"/>
          <w:spacing w:val="0"/>
          <w:sz w:val="32"/>
          <w:szCs w:val="32"/>
          <w:highlight w:val="none"/>
          <w:lang w:val="en-US" w:eastAsia="zh-CN"/>
        </w:rPr>
        <w:t>收入支出总体比上年减少</w:t>
      </w:r>
      <w:r>
        <w:rPr>
          <w:rFonts w:hint="eastAsia" w:ascii="仿宋_GB2312" w:eastAsia="仿宋_GB2312"/>
          <w:color w:val="auto"/>
          <w:spacing w:val="0"/>
          <w:sz w:val="32"/>
          <w:szCs w:val="32"/>
          <w:highlight w:val="none"/>
          <w:lang w:eastAsia="zh-CN"/>
        </w:rPr>
        <w:t>。</w:t>
      </w:r>
    </w:p>
    <w:p w14:paraId="4E7252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21ED139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99.80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99.78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61DE4EB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571D16C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本年支出105.84万元，其中：基本支出76.26万元，占72.06%；项目支出29.58万元，占27.94%；上缴上级支出0.00万元，占0.00%；经营支出0.00万元，占0.00%；对附属单位补助支出0.00万元，占0.00%。</w:t>
      </w:r>
    </w:p>
    <w:p w14:paraId="4B913DF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5ED4E9A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105.36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5.58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99.78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105.36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105.36</w:t>
      </w:r>
      <w:r>
        <w:rPr>
          <w:rFonts w:hint="eastAsia" w:ascii="仿宋_GB2312" w:eastAsia="仿宋_GB2312"/>
          <w:color w:val="auto"/>
          <w:spacing w:val="0"/>
          <w:sz w:val="32"/>
          <w:szCs w:val="32"/>
          <w:highlight w:val="none"/>
          <w:lang w:eastAsia="zh-CN"/>
        </w:rPr>
        <w:t>万元。</w:t>
      </w:r>
    </w:p>
    <w:p w14:paraId="25740E1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减少15.53万元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下降12.84%，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w:t>
      </w:r>
      <w:r>
        <w:rPr>
          <w:rFonts w:hint="eastAsia" w:eastAsia="仿宋_GB2312" w:cs="Times New Roman"/>
          <w:color w:val="auto"/>
          <w:kern w:val="2"/>
          <w:sz w:val="32"/>
          <w:szCs w:val="32"/>
          <w:highlight w:val="none"/>
          <w:lang w:val="zh-CN" w:eastAsia="zh-CN" w:bidi="ar-SA"/>
        </w:rPr>
        <w:t>根据新财社【</w:t>
      </w:r>
      <w:r>
        <w:rPr>
          <w:rFonts w:hint="eastAsia" w:eastAsia="仿宋_GB2312" w:cs="Times New Roman"/>
          <w:color w:val="auto"/>
          <w:kern w:val="2"/>
          <w:sz w:val="32"/>
          <w:szCs w:val="32"/>
          <w:highlight w:val="none"/>
          <w:lang w:val="en-US" w:eastAsia="zh-CN" w:bidi="ar-SA"/>
        </w:rPr>
        <w:t>2023</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168号文件，当地医保局对退休人员的医疗补助缴费退回缴纳单位，并由缴费单位退回至自治区财政。二是2022年末在职退休2人，2023年年初预算减少，支出减少；以上导致</w:t>
      </w:r>
      <w:r>
        <w:rPr>
          <w:rFonts w:hint="eastAsia" w:ascii="仿宋_GB2312" w:eastAsia="仿宋_GB2312"/>
          <w:color w:val="auto"/>
          <w:spacing w:val="0"/>
          <w:sz w:val="32"/>
          <w:szCs w:val="32"/>
          <w:highlight w:val="none"/>
          <w:lang w:val="en-US" w:eastAsia="zh-CN"/>
        </w:rPr>
        <w:t>收入支出总体比上年减少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81.13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105.36</w:t>
      </w:r>
      <w:r>
        <w:rPr>
          <w:rFonts w:hint="eastAsia" w:ascii="仿宋_GB2312" w:eastAsia="仿宋_GB2312"/>
          <w:color w:val="auto"/>
          <w:spacing w:val="0"/>
          <w:sz w:val="32"/>
          <w:szCs w:val="32"/>
          <w:highlight w:val="none"/>
          <w:lang w:eastAsia="zh-CN"/>
        </w:rPr>
        <w:t>万元，预决算差异率29.86%，主要原因是：</w:t>
      </w:r>
      <w:r>
        <w:rPr>
          <w:rFonts w:hint="eastAsia" w:ascii="仿宋_GB2312" w:eastAsia="仿宋_GB2312"/>
          <w:color w:val="auto"/>
          <w:spacing w:val="0"/>
          <w:sz w:val="32"/>
          <w:szCs w:val="32"/>
          <w:highlight w:val="none"/>
          <w:lang w:val="en-US" w:eastAsia="zh-CN"/>
        </w:rPr>
        <w:t>一是本年度追加2022年退休人员职业年金；二是</w:t>
      </w:r>
      <w:r>
        <w:rPr>
          <w:rFonts w:hint="eastAsia" w:ascii="仿宋_GB2312" w:eastAsia="仿宋_GB2312"/>
          <w:color w:val="auto"/>
          <w:sz w:val="32"/>
          <w:szCs w:val="32"/>
          <w:highlight w:val="none"/>
          <w:lang w:val="zh-CN" w:eastAsia="zh-CN"/>
        </w:rPr>
        <w:t>根据考核结果追加并发放在职、退休人员年终绩效考核奖金</w:t>
      </w:r>
      <w:r>
        <w:rPr>
          <w:rFonts w:hint="eastAsia" w:ascii="仿宋_GB2312" w:eastAsia="仿宋_GB2312"/>
          <w:color w:val="auto"/>
          <w:spacing w:val="0"/>
          <w:sz w:val="32"/>
          <w:szCs w:val="32"/>
          <w:highlight w:val="none"/>
          <w:lang w:eastAsia="zh-CN"/>
        </w:rPr>
        <w:t>。</w:t>
      </w:r>
    </w:p>
    <w:p w14:paraId="469A9BA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6C732FC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6A06BA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2023年度一般公共预算财政拨款支出105.36万元，占本年支出合计的</w:t>
      </w:r>
      <w:r>
        <w:rPr>
          <w:rFonts w:hint="eastAsia" w:ascii="仿宋_GB2312" w:eastAsia="仿宋_GB2312"/>
          <w:color w:val="auto"/>
          <w:spacing w:val="0"/>
          <w:sz w:val="32"/>
          <w:szCs w:val="32"/>
          <w:highlight w:val="none"/>
          <w:lang w:val="zh-CN" w:eastAsia="zh-CN"/>
        </w:rPr>
        <w:t>99.55%</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减少9.95万元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下降8.63%，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w:t>
      </w:r>
      <w:r>
        <w:rPr>
          <w:rFonts w:hint="eastAsia" w:eastAsia="仿宋_GB2312" w:cs="Times New Roman"/>
          <w:color w:val="auto"/>
          <w:kern w:val="2"/>
          <w:sz w:val="32"/>
          <w:szCs w:val="32"/>
          <w:highlight w:val="none"/>
          <w:lang w:val="zh-CN" w:eastAsia="zh-CN" w:bidi="ar-SA"/>
        </w:rPr>
        <w:t>根据新财社【</w:t>
      </w:r>
      <w:r>
        <w:rPr>
          <w:rFonts w:hint="eastAsia" w:eastAsia="仿宋_GB2312" w:cs="Times New Roman"/>
          <w:color w:val="auto"/>
          <w:kern w:val="2"/>
          <w:sz w:val="32"/>
          <w:szCs w:val="32"/>
          <w:highlight w:val="none"/>
          <w:lang w:val="en-US" w:eastAsia="zh-CN" w:bidi="ar-SA"/>
        </w:rPr>
        <w:t>2023</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168号文件，当地医保局对退休人员的医疗补助缴费退回缴纳单位，并由缴费单位退回至自治区财政。二是2022年末在职退休2人，2023年年初预算减少，支出减少；以上导致</w:t>
      </w:r>
      <w:r>
        <w:rPr>
          <w:rFonts w:hint="eastAsia" w:ascii="仿宋_GB2312" w:eastAsia="仿宋_GB2312"/>
          <w:color w:val="auto"/>
          <w:spacing w:val="0"/>
          <w:sz w:val="32"/>
          <w:szCs w:val="32"/>
          <w:highlight w:val="none"/>
          <w:lang w:eastAsia="zh-CN"/>
        </w:rPr>
        <w:t>财政拨款</w:t>
      </w:r>
      <w:r>
        <w:rPr>
          <w:rFonts w:hint="eastAsia" w:ascii="仿宋_GB2312" w:eastAsia="仿宋_GB2312"/>
          <w:color w:val="auto"/>
          <w:spacing w:val="0"/>
          <w:sz w:val="32"/>
          <w:szCs w:val="32"/>
          <w:highlight w:val="none"/>
          <w:lang w:val="en-US" w:eastAsia="zh-CN"/>
        </w:rPr>
        <w:t>支出总体比上年减少。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81.13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105.36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29.86%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一是本年度追加2022年退休人员职业年金；二是</w:t>
      </w:r>
      <w:r>
        <w:rPr>
          <w:rFonts w:hint="eastAsia" w:ascii="仿宋_GB2312" w:eastAsia="仿宋_GB2312"/>
          <w:color w:val="auto"/>
          <w:sz w:val="32"/>
          <w:szCs w:val="32"/>
          <w:highlight w:val="none"/>
          <w:lang w:val="zh-CN" w:eastAsia="zh-CN"/>
        </w:rPr>
        <w:t>根据考核结果追加并发放在职、退休人员年终绩效考核奖金</w:t>
      </w:r>
      <w:r>
        <w:rPr>
          <w:rFonts w:hint="eastAsia" w:ascii="仿宋_GB2312" w:eastAsia="仿宋_GB2312"/>
          <w:color w:val="auto"/>
          <w:spacing w:val="0"/>
          <w:sz w:val="32"/>
          <w:szCs w:val="32"/>
          <w:highlight w:val="none"/>
          <w:lang w:eastAsia="zh-CN"/>
        </w:rPr>
        <w:t>。</w:t>
      </w:r>
    </w:p>
    <w:p w14:paraId="7B19B36F">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6BC92A4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25.69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24.38</w:t>
      </w:r>
      <w:r>
        <w:rPr>
          <w:rFonts w:hint="default" w:ascii="仿宋_GB2312" w:hAnsi="Times New Roman" w:eastAsia="仿宋_GB2312" w:cs="Times New Roman"/>
          <w:color w:val="auto"/>
          <w:spacing w:val="0"/>
          <w:kern w:val="2"/>
          <w:sz w:val="32"/>
          <w:szCs w:val="32"/>
          <w:highlight w:val="none"/>
          <w:lang w:val="zh-CN" w:eastAsia="zh-CN" w:bidi="ar-SA"/>
        </w:rPr>
        <w:t>%；</w:t>
      </w:r>
    </w:p>
    <w:p w14:paraId="7BA1C83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4.13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3.92</w:t>
      </w:r>
      <w:r>
        <w:rPr>
          <w:rFonts w:hint="default" w:ascii="仿宋_GB2312" w:hAnsi="Times New Roman" w:eastAsia="仿宋_GB2312" w:cs="Times New Roman"/>
          <w:color w:val="auto"/>
          <w:spacing w:val="0"/>
          <w:kern w:val="2"/>
          <w:sz w:val="32"/>
          <w:szCs w:val="32"/>
          <w:highlight w:val="none"/>
          <w:lang w:val="zh-CN" w:eastAsia="zh-CN" w:bidi="ar-SA"/>
        </w:rPr>
        <w:t>%；</w:t>
      </w:r>
    </w:p>
    <w:p w14:paraId="48634E9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72.25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68.58</w:t>
      </w:r>
      <w:r>
        <w:rPr>
          <w:rFonts w:hint="default" w:ascii="仿宋_GB2312" w:hAnsi="Times New Roman" w:eastAsia="仿宋_GB2312" w:cs="Times New Roman"/>
          <w:color w:val="auto"/>
          <w:spacing w:val="0"/>
          <w:kern w:val="2"/>
          <w:sz w:val="32"/>
          <w:szCs w:val="32"/>
          <w:highlight w:val="none"/>
          <w:lang w:val="zh-CN" w:eastAsia="zh-CN" w:bidi="ar-SA"/>
        </w:rPr>
        <w:t>%；</w:t>
      </w:r>
    </w:p>
    <w:p w14:paraId="4404D1C4">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3.29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3.12</w:t>
      </w:r>
      <w:r>
        <w:rPr>
          <w:rFonts w:hint="default" w:ascii="仿宋_GB2312" w:hAnsi="Times New Roman" w:eastAsia="仿宋_GB2312" w:cs="Times New Roman"/>
          <w:color w:val="auto"/>
          <w:spacing w:val="0"/>
          <w:kern w:val="2"/>
          <w:sz w:val="32"/>
          <w:szCs w:val="32"/>
          <w:highlight w:val="none"/>
          <w:lang w:val="zh-CN" w:eastAsia="zh-CN" w:bidi="ar-SA"/>
        </w:rPr>
        <w:t>%；</w:t>
      </w:r>
    </w:p>
    <w:p w14:paraId="473DDDE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322D608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1.卫生健康支出（类）行政事业单位医疗（款）行政单位医疗（项）:支出决算数为2.22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38.15%，主要原因是：</w:t>
      </w:r>
      <w:r>
        <w:rPr>
          <w:rFonts w:hint="eastAsia" w:eastAsia="仿宋_GB2312" w:cs="Times New Roman"/>
          <w:color w:val="auto"/>
          <w:kern w:val="2"/>
          <w:sz w:val="32"/>
          <w:szCs w:val="32"/>
          <w:highlight w:val="none"/>
          <w:lang w:val="en-US" w:eastAsia="zh-CN" w:bidi="ar-SA"/>
        </w:rPr>
        <w:t>2022年末在职退休2人，2023年</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eastAsia="仿宋_GB2312" w:cs="Times New Roman"/>
          <w:color w:val="auto"/>
          <w:kern w:val="2"/>
          <w:sz w:val="32"/>
          <w:szCs w:val="32"/>
          <w:highlight w:val="none"/>
          <w:lang w:val="en-US" w:eastAsia="zh-CN" w:bidi="ar-SA"/>
        </w:rPr>
        <w:t>保险基数降低，</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eastAsia="仿宋_GB2312" w:cs="Times New Roman"/>
          <w:color w:val="auto"/>
          <w:kern w:val="2"/>
          <w:sz w:val="32"/>
          <w:szCs w:val="32"/>
          <w:highlight w:val="none"/>
          <w:lang w:val="en-US" w:eastAsia="zh-CN" w:bidi="ar-SA"/>
        </w:rPr>
        <w:t>决算支出数减少</w:t>
      </w:r>
      <w:r>
        <w:rPr>
          <w:rFonts w:hint="eastAsia" w:eastAsia="仿宋_GB2312" w:cs="Times New Roman"/>
          <w:color w:val="auto"/>
          <w:kern w:val="2"/>
          <w:sz w:val="32"/>
          <w:szCs w:val="32"/>
          <w:highlight w:val="none"/>
          <w:lang w:val="zh-CN" w:eastAsia="zh-CN" w:bidi="ar-SA"/>
        </w:rPr>
        <w:t>。</w:t>
      </w:r>
    </w:p>
    <w:p w14:paraId="19DC8B3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2.卫生健康支出（类）行政事业单位医疗（款）公务员医疗补助（项）:支出决算数为1.92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31.22%，主要原因是：</w:t>
      </w:r>
      <w:r>
        <w:rPr>
          <w:rFonts w:hint="eastAsia" w:eastAsia="仿宋_GB2312" w:cs="Times New Roman"/>
          <w:color w:val="auto"/>
          <w:kern w:val="2"/>
          <w:sz w:val="32"/>
          <w:szCs w:val="32"/>
          <w:highlight w:val="none"/>
          <w:lang w:val="en-US" w:eastAsia="zh-CN" w:bidi="ar-SA"/>
        </w:rPr>
        <w:t>2022年末在职退休2人，2023年</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en-US" w:eastAsia="zh-CN" w:bidi="ar-SA"/>
        </w:rPr>
        <w:t>基数降低，导致</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en-US" w:eastAsia="zh-CN" w:bidi="ar-SA"/>
        </w:rPr>
        <w:t>决算支出数减少</w:t>
      </w:r>
      <w:r>
        <w:rPr>
          <w:rFonts w:hint="eastAsia" w:eastAsia="仿宋_GB2312" w:cs="Times New Roman"/>
          <w:color w:val="auto"/>
          <w:kern w:val="2"/>
          <w:sz w:val="32"/>
          <w:szCs w:val="32"/>
          <w:highlight w:val="none"/>
          <w:lang w:val="zh-CN" w:eastAsia="zh-CN" w:bidi="ar-SA"/>
        </w:rPr>
        <w:t>。</w:t>
      </w:r>
    </w:p>
    <w:p w14:paraId="10AB1EA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3.自然资源海洋气象等支出（类）自然资源事务（款）其他自然资源事务支出（项）:支出决算数为29.58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6.66%，主要原因是：</w:t>
      </w:r>
      <w:r>
        <w:rPr>
          <w:rFonts w:hint="eastAsia" w:eastAsia="仿宋_GB2312" w:cs="Times New Roman"/>
          <w:color w:val="auto"/>
          <w:kern w:val="2"/>
          <w:sz w:val="32"/>
          <w:szCs w:val="32"/>
          <w:highlight w:val="none"/>
          <w:lang w:val="en-US" w:eastAsia="zh-CN" w:bidi="ar-SA"/>
        </w:rPr>
        <w:t>2023</w:t>
      </w:r>
      <w:r>
        <w:rPr>
          <w:rFonts w:hint="eastAsia" w:eastAsia="仿宋_GB2312" w:cs="Times New Roman"/>
          <w:color w:val="auto"/>
          <w:kern w:val="2"/>
          <w:sz w:val="32"/>
          <w:szCs w:val="32"/>
          <w:highlight w:val="none"/>
          <w:lang w:val="zh-CN" w:eastAsia="zh-CN" w:bidi="ar-SA"/>
        </w:rPr>
        <w:t>年度执法工作量加大，执法办案成本增加，导致项目经费增加。</w:t>
      </w:r>
    </w:p>
    <w:p w14:paraId="3DD2C90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4.自然资源海洋气象等支出（类）自然资源事务（款）行政运行（项）:支出决算数为42.68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20.82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32.78%，主要原因是：</w:t>
      </w:r>
      <w:r>
        <w:rPr>
          <w:rFonts w:hint="eastAsia" w:eastAsia="仿宋_GB2312" w:cs="Times New Roman"/>
          <w:color w:val="auto"/>
          <w:kern w:val="2"/>
          <w:sz w:val="32"/>
          <w:szCs w:val="32"/>
          <w:highlight w:val="none"/>
          <w:lang w:val="en-US" w:eastAsia="zh-CN" w:bidi="ar-SA"/>
        </w:rPr>
        <w:t>2022年末在职退休2人，2023年度工资福利支出和公用经费支出减少，导致</w:t>
      </w:r>
      <w:r>
        <w:rPr>
          <w:rFonts w:hint="eastAsia" w:ascii="Times New Roman" w:hAnsi="Times New Roman" w:eastAsia="仿宋_GB2312" w:cs="Times New Roman"/>
          <w:color w:val="auto"/>
          <w:kern w:val="2"/>
          <w:sz w:val="32"/>
          <w:szCs w:val="32"/>
          <w:highlight w:val="none"/>
          <w:lang w:val="en-US" w:eastAsia="zh-CN" w:bidi="ar-SA"/>
        </w:rPr>
        <w:t>行政运行</w:t>
      </w:r>
      <w:r>
        <w:rPr>
          <w:rFonts w:hint="eastAsia" w:eastAsia="仿宋_GB2312" w:cs="Times New Roman"/>
          <w:color w:val="auto"/>
          <w:kern w:val="2"/>
          <w:sz w:val="32"/>
          <w:szCs w:val="32"/>
          <w:highlight w:val="none"/>
          <w:lang w:val="en-US" w:eastAsia="zh-CN" w:bidi="ar-SA"/>
        </w:rPr>
        <w:t>决算支出数减少</w:t>
      </w:r>
      <w:r>
        <w:rPr>
          <w:rFonts w:hint="eastAsia" w:eastAsia="仿宋_GB2312" w:cs="Times New Roman"/>
          <w:color w:val="auto"/>
          <w:kern w:val="2"/>
          <w:sz w:val="32"/>
          <w:szCs w:val="32"/>
          <w:highlight w:val="none"/>
          <w:lang w:val="zh-CN" w:eastAsia="zh-CN" w:bidi="ar-SA"/>
        </w:rPr>
        <w:t>。</w:t>
      </w:r>
    </w:p>
    <w:p w14:paraId="71BE40E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5.住房保障支出（类）住房改革支出（款）住房公积金（项）:支出决算数为3.29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33.41%，主要原因是：</w:t>
      </w:r>
      <w:r>
        <w:rPr>
          <w:rFonts w:hint="eastAsia" w:eastAsia="仿宋_GB2312" w:cs="Times New Roman"/>
          <w:color w:val="auto"/>
          <w:kern w:val="2"/>
          <w:sz w:val="32"/>
          <w:szCs w:val="32"/>
          <w:highlight w:val="none"/>
          <w:lang w:val="en-US" w:eastAsia="zh-CN" w:bidi="ar-SA"/>
        </w:rPr>
        <w:t>2022年末在职退休2人，2023年住房公积金基数降低，导致</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en-US" w:eastAsia="zh-CN" w:bidi="ar-SA"/>
        </w:rPr>
        <w:t>支出决算数比上年减少。</w:t>
      </w:r>
    </w:p>
    <w:p w14:paraId="389AB1E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6.社会保障和就业支出（类）行政事业单位养老支出（款）行政单位离退休（项）:支出决算数为8.01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29.07%，主要原因是：</w:t>
      </w:r>
      <w:r>
        <w:rPr>
          <w:rFonts w:hint="eastAsia" w:eastAsia="仿宋_GB2312" w:cs="Times New Roman"/>
          <w:color w:val="auto"/>
          <w:kern w:val="2"/>
          <w:sz w:val="32"/>
          <w:szCs w:val="32"/>
          <w:highlight w:val="none"/>
          <w:lang w:val="en-US" w:eastAsia="zh-CN" w:bidi="ar-SA"/>
        </w:rPr>
        <w:t xml:space="preserve">新增2名退休人员，导致其他对个人和家庭的补助支出比上年增加。 </w:t>
      </w:r>
    </w:p>
    <w:p w14:paraId="1602C69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7.社会保障和就业支出（类）行政事业单位养老支出（款）机关事业单位职业年金缴费支出（项）:支出决算数为13.30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13.30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本年度追加</w:t>
      </w:r>
      <w:r>
        <w:rPr>
          <w:rFonts w:hint="eastAsia" w:eastAsia="仿宋_GB2312" w:cs="Times New Roman"/>
          <w:color w:val="auto"/>
          <w:kern w:val="2"/>
          <w:sz w:val="32"/>
          <w:szCs w:val="32"/>
          <w:highlight w:val="none"/>
          <w:lang w:val="en-US" w:eastAsia="zh-CN" w:bidi="ar-SA"/>
        </w:rPr>
        <w:t>2022年退休人员职业年金</w:t>
      </w:r>
      <w:r>
        <w:rPr>
          <w:rFonts w:hint="eastAsia" w:eastAsia="仿宋_GB2312" w:cs="Times New Roman"/>
          <w:color w:val="auto"/>
          <w:kern w:val="2"/>
          <w:sz w:val="32"/>
          <w:szCs w:val="32"/>
          <w:highlight w:val="none"/>
          <w:lang w:val="zh-CN" w:eastAsia="zh-CN" w:bidi="ar-SA"/>
        </w:rPr>
        <w:t>。</w:t>
      </w:r>
    </w:p>
    <w:p w14:paraId="6C466BB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8.社会保障和就业支出（类）行政事业单位养老支出（款）机关事业单位基本养老保险缴费支出（项）:支出决算数为4.38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33.41%，主要原因是：</w:t>
      </w:r>
      <w:r>
        <w:rPr>
          <w:rFonts w:hint="eastAsia" w:eastAsia="仿宋_GB2312" w:cs="Times New Roman"/>
          <w:color w:val="auto"/>
          <w:kern w:val="2"/>
          <w:sz w:val="32"/>
          <w:szCs w:val="32"/>
          <w:highlight w:val="none"/>
          <w:lang w:val="en-US" w:eastAsia="zh-CN" w:bidi="ar-SA"/>
        </w:rPr>
        <w:t>2022年末在职转退休2人，2023年养老保险基数降低，导致</w:t>
      </w:r>
      <w:r>
        <w:rPr>
          <w:rFonts w:hint="eastAsia" w:ascii="Times New Roman" w:hAnsi="Times New Roman" w:eastAsia="仿宋_GB2312" w:cs="Times New Roman"/>
          <w:color w:val="auto"/>
          <w:kern w:val="2"/>
          <w:sz w:val="32"/>
          <w:szCs w:val="32"/>
          <w:highlight w:val="none"/>
          <w:lang w:val="en-US" w:eastAsia="zh-CN" w:bidi="ar-SA"/>
        </w:rPr>
        <w:t>基本养老保险缴费</w:t>
      </w:r>
      <w:r>
        <w:rPr>
          <w:rFonts w:hint="eastAsia" w:eastAsia="仿宋_GB2312" w:cs="Times New Roman"/>
          <w:color w:val="auto"/>
          <w:kern w:val="2"/>
          <w:sz w:val="32"/>
          <w:szCs w:val="32"/>
          <w:highlight w:val="none"/>
          <w:lang w:val="en-US" w:eastAsia="zh-CN" w:bidi="ar-SA"/>
        </w:rPr>
        <w:t>支出决算数比上年减少。</w:t>
      </w:r>
    </w:p>
    <w:p w14:paraId="619B0DB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2A7B913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75.78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72.26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退休费、其他对个人和家庭的补助。</w:t>
      </w:r>
    </w:p>
    <w:p w14:paraId="20C89D4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3.52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办公费、水费、邮电费、取暖费、差旅费、工会经费、福利费、其他交通费用、其他商品和服务支出。</w:t>
      </w:r>
    </w:p>
    <w:p w14:paraId="0E30B1B3">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仿宋_GB2312" w:eastAsia="仿宋_GB2312"/>
          <w:b/>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445A39D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43342BB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73A890E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73958C9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原因是：我单位车辆为执法执勤用车和皮卡车</w:t>
      </w:r>
      <w:r>
        <w:rPr>
          <w:rFonts w:hint="eastAsia" w:eastAsia="仿宋_GB2312" w:cs="Times New Roman"/>
          <w:color w:val="auto"/>
          <w:sz w:val="32"/>
          <w:szCs w:val="32"/>
          <w:highlight w:val="none"/>
          <w:lang w:val="zh-CN" w:eastAsia="zh-CN"/>
        </w:rPr>
        <w:t>，</w:t>
      </w:r>
      <w:r>
        <w:rPr>
          <w:rFonts w:hint="eastAsia" w:ascii="仿宋_GB2312" w:eastAsia="仿宋_GB2312"/>
          <w:color w:val="auto"/>
          <w:sz w:val="32"/>
          <w:szCs w:val="32"/>
          <w:highlight w:val="none"/>
          <w:lang w:val="en-US" w:eastAsia="zh-CN"/>
        </w:rPr>
        <w:t>不属于公务用车，使用其他交通费，支付燃油及维修费</w:t>
      </w:r>
      <w:r>
        <w:rPr>
          <w:rFonts w:hint="eastAsia" w:ascii="仿宋_GB2312" w:eastAsia="仿宋_GB2312"/>
          <w:color w:val="auto"/>
          <w:sz w:val="32"/>
          <w:szCs w:val="32"/>
          <w:highlight w:val="none"/>
          <w:lang w:val="zh-CN" w:eastAsia="zh-CN"/>
        </w:rPr>
        <w:t>。</w:t>
      </w:r>
    </w:p>
    <w:p w14:paraId="00CCC10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15C3A5B0">
      <w:pPr>
        <w:ind w:firstLine="640" w:firstLineChars="200"/>
        <w:rPr>
          <w:rFonts w:ascii="仿宋_GB2312" w:eastAsia="仿宋_GB2312"/>
          <w:sz w:val="32"/>
          <w:szCs w:val="32"/>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14:paraId="4807871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56C6460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 xml:space="preserve"> </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6182B61E">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仿宋_GB2312" w:eastAsia="仿宋_GB2312"/>
          <w:b/>
          <w:bCs/>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395B3FB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 xml:space="preserve"> </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500C0D6A">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仿宋_GB2312" w:eastAsia="仿宋_GB2312"/>
          <w:b/>
          <w:bCs/>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464A50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1EE08461">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吉木乃县国土资源执法监察大队（行政单位和参照公务员法管理事业单位）机关运行经费支出3.52万元，比上年减少1.56万元，下降30.69%，主要原因是：</w:t>
      </w:r>
      <w:r>
        <w:rPr>
          <w:rFonts w:hint="eastAsia" w:eastAsia="仿宋_GB2312" w:cs="Times New Roman"/>
          <w:color w:val="auto"/>
          <w:kern w:val="2"/>
          <w:sz w:val="32"/>
          <w:szCs w:val="32"/>
          <w:highlight w:val="none"/>
          <w:lang w:val="en-US" w:eastAsia="zh-CN" w:bidi="ar-SA"/>
        </w:rPr>
        <w:t>2022年在职转退休2人，2023年工资福利支出减少，导致公用经费取数降低，</w:t>
      </w:r>
      <w:bookmarkStart w:id="48" w:name="_GoBack"/>
      <w:bookmarkEnd w:id="48"/>
      <w:r>
        <w:rPr>
          <w:rFonts w:hint="eastAsia" w:ascii="Times New Roman" w:hAnsi="Times New Roman" w:eastAsia="仿宋_GB2312" w:cs="Times New Roman"/>
          <w:color w:val="auto"/>
          <w:sz w:val="32"/>
          <w:szCs w:val="32"/>
          <w:highlight w:val="none"/>
          <w:lang w:val="en-US" w:eastAsia="zh-CN"/>
        </w:rPr>
        <w:t>机关运行经费支出</w:t>
      </w:r>
      <w:r>
        <w:rPr>
          <w:rFonts w:hint="eastAsia" w:eastAsia="仿宋_GB2312" w:cs="Times New Roman"/>
          <w:color w:val="auto"/>
          <w:sz w:val="32"/>
          <w:szCs w:val="32"/>
          <w:highlight w:val="none"/>
          <w:lang w:val="en-US" w:eastAsia="zh-CN"/>
        </w:rPr>
        <w:t>数比上年减少</w:t>
      </w:r>
      <w:r>
        <w:rPr>
          <w:rFonts w:hint="eastAsia" w:ascii="Times New Roman" w:hAnsi="Times New Roman" w:eastAsia="仿宋_GB2312" w:cs="Times New Roman"/>
          <w:color w:val="auto"/>
          <w:sz w:val="32"/>
          <w:szCs w:val="32"/>
          <w:highlight w:val="none"/>
          <w:lang w:val="en-US" w:eastAsia="zh-CN"/>
        </w:rPr>
        <w:t>。</w:t>
      </w:r>
    </w:p>
    <w:p w14:paraId="56C8FF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5C43B2A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6AFAFEB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58CE8E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0C81D17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83.01</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屋108.6平方米，价值23.69万元。车辆2辆，价值36.60万元，其中：副部（省）级及以上领导用车0辆、主要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zh-CN" w:eastAsia="zh-CN"/>
        </w:rPr>
        <w:t>皮卡车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032581D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048CBDB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sz w:val="32"/>
          <w:szCs w:val="32"/>
          <w:highlight w:val="none"/>
          <w:lang w:eastAsia="zh-CN"/>
        </w:rPr>
        <w:t>我单位2023年度</w:t>
      </w:r>
      <w:r>
        <w:rPr>
          <w:rFonts w:hint="eastAsia" w:ascii="仿宋_GB2312" w:hAnsi="仿宋_GB2312" w:eastAsia="仿宋_GB2312" w:cs="仿宋_GB2312"/>
          <w:color w:val="auto"/>
          <w:kern w:val="0"/>
          <w:sz w:val="32"/>
          <w:szCs w:val="32"/>
          <w:highlight w:val="none"/>
        </w:rPr>
        <w:t>预算绩效</w:t>
      </w:r>
      <w:r>
        <w:rPr>
          <w:rFonts w:hint="eastAsia" w:ascii="仿宋_GB2312" w:eastAsia="仿宋_GB2312"/>
          <w:sz w:val="32"/>
          <w:szCs w:val="32"/>
        </w:rPr>
        <w:t>评价项目</w:t>
      </w:r>
      <w:r>
        <w:rPr>
          <w:rFonts w:hint="eastAsia" w:ascii="仿宋_GB2312" w:eastAsia="仿宋_GB2312"/>
          <w:sz w:val="32"/>
          <w:szCs w:val="32"/>
          <w:lang w:val="en-US" w:eastAsia="zh-CN"/>
        </w:rPr>
        <w:t>0个</w:t>
      </w:r>
      <w:r>
        <w:rPr>
          <w:rFonts w:hint="eastAsia" w:ascii="仿宋_GB2312" w:eastAsia="仿宋_GB2312"/>
          <w:sz w:val="32"/>
          <w:szCs w:val="32"/>
          <w:lang w:eastAsia="zh-CN"/>
        </w:rPr>
        <w:t>，</w:t>
      </w:r>
      <w:r>
        <w:rPr>
          <w:rFonts w:hint="eastAsia" w:ascii="仿宋_GB2312" w:eastAsia="仿宋_GB2312"/>
          <w:sz w:val="32"/>
          <w:szCs w:val="32"/>
        </w:rPr>
        <w:t>全年预算数0.00万元，全年执行数0.00万元。预算绩效管理取得的成效：我单位本年无绩效评价项目。发现的问题及原因：我单位本年无绩效评价项目。下一步改进措施：我单位本年无绩效评价项目。</w:t>
      </w:r>
    </w:p>
    <w:p w14:paraId="14280EA8">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黑体" w:hAnsi="黑体" w:eastAsia="黑体" w:cs="宋体"/>
          <w:bCs/>
          <w:color w:val="auto"/>
          <w:kern w:val="0"/>
          <w:sz w:val="32"/>
          <w:szCs w:val="32"/>
          <w:highlight w:val="none"/>
          <w:lang w:eastAsia="zh-CN"/>
        </w:rPr>
      </w:pPr>
      <w:r>
        <w:rPr>
          <w:rFonts w:hint="eastAsia" w:ascii="仿宋_GB2312" w:hAnsi="仿宋_GB2312" w:eastAsia="仿宋_GB2312" w:cs="仿宋_GB2312"/>
          <w:b/>
          <w:bCs/>
          <w:color w:val="auto"/>
          <w:kern w:val="0"/>
          <w:sz w:val="32"/>
          <w:szCs w:val="32"/>
          <w:highlight w:val="none"/>
          <w:lang w:val="en-US" w:eastAsia="zh-CN"/>
        </w:rPr>
        <w:t xml:space="preserve"> </w:t>
      </w: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6FB3411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400989B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606E9BD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4F1EA14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669D8CE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494FAF4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2E97539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04FC44D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388FAD4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7A06F08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24BC954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4C2243A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13518F2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7DF9AA2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34E9D72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1BAFF94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5FCE834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仿宋_GB2312" w:hAnsi="仿宋_GB2312" w:eastAsia="仿宋_GB2312" w:cs="仿宋_GB2312"/>
          <w:b/>
          <w:bCs/>
          <w:color w:val="auto"/>
          <w:kern w:val="0"/>
          <w:sz w:val="32"/>
          <w:szCs w:val="32"/>
          <w:highlight w:val="none"/>
          <w:lang w:val="en-US" w:eastAsia="zh-CN"/>
        </w:rPr>
        <w:t xml:space="preserve"> </w:t>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54C1BFA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74A1D73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49EC851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18526B3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3CAE108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7A7E91D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6C77548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6F890D8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916664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31FDECB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7418E5E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2C79A9F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767617B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0EAA7D11">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1F9D1DF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71E3F76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3EB759E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25901A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07CA04F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7FE3301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4AE0A6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0FFBAA9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379B4B4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7D887FE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35FC76B6">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3A8204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CEF0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D46F4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D46F4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1E7687A"/>
    <w:rsid w:val="02BD3108"/>
    <w:rsid w:val="02F73D26"/>
    <w:rsid w:val="034D4FEF"/>
    <w:rsid w:val="035D1785"/>
    <w:rsid w:val="039F47CE"/>
    <w:rsid w:val="03E05CE8"/>
    <w:rsid w:val="03F973EE"/>
    <w:rsid w:val="043E5B56"/>
    <w:rsid w:val="04C04386"/>
    <w:rsid w:val="04FA68C4"/>
    <w:rsid w:val="053F5AE6"/>
    <w:rsid w:val="057C0B0F"/>
    <w:rsid w:val="058645FB"/>
    <w:rsid w:val="05C60FE6"/>
    <w:rsid w:val="05EF4B48"/>
    <w:rsid w:val="05F71525"/>
    <w:rsid w:val="05F76ECA"/>
    <w:rsid w:val="06792773"/>
    <w:rsid w:val="06EF1526"/>
    <w:rsid w:val="07093795"/>
    <w:rsid w:val="07571DAC"/>
    <w:rsid w:val="07763023"/>
    <w:rsid w:val="07804730"/>
    <w:rsid w:val="079052BE"/>
    <w:rsid w:val="080261BB"/>
    <w:rsid w:val="08145C21"/>
    <w:rsid w:val="08422688"/>
    <w:rsid w:val="085854ED"/>
    <w:rsid w:val="0879188F"/>
    <w:rsid w:val="08A0354D"/>
    <w:rsid w:val="08CD4C49"/>
    <w:rsid w:val="09114954"/>
    <w:rsid w:val="095A5B83"/>
    <w:rsid w:val="096466E3"/>
    <w:rsid w:val="0968304D"/>
    <w:rsid w:val="09AF3D17"/>
    <w:rsid w:val="0A726EFC"/>
    <w:rsid w:val="0A7809B7"/>
    <w:rsid w:val="0A7B4867"/>
    <w:rsid w:val="0A840954"/>
    <w:rsid w:val="0A9928ED"/>
    <w:rsid w:val="0B61769D"/>
    <w:rsid w:val="0B8C3ECC"/>
    <w:rsid w:val="0B9C639D"/>
    <w:rsid w:val="0BB052B2"/>
    <w:rsid w:val="0BD33FFC"/>
    <w:rsid w:val="0BE97AC1"/>
    <w:rsid w:val="0C0F6D61"/>
    <w:rsid w:val="0C1C4780"/>
    <w:rsid w:val="0C3613A3"/>
    <w:rsid w:val="0C5E519C"/>
    <w:rsid w:val="0C7227A7"/>
    <w:rsid w:val="0CA52EE8"/>
    <w:rsid w:val="0CBD6988"/>
    <w:rsid w:val="0CD208AC"/>
    <w:rsid w:val="0CDD4579"/>
    <w:rsid w:val="0D4903E8"/>
    <w:rsid w:val="0D7A4A46"/>
    <w:rsid w:val="0E640559"/>
    <w:rsid w:val="0ED939EE"/>
    <w:rsid w:val="0F040A6B"/>
    <w:rsid w:val="0F1113DA"/>
    <w:rsid w:val="0F7722CF"/>
    <w:rsid w:val="0F78534A"/>
    <w:rsid w:val="0F89358A"/>
    <w:rsid w:val="0F8C6D51"/>
    <w:rsid w:val="0FBA47F8"/>
    <w:rsid w:val="100D1783"/>
    <w:rsid w:val="105B0B5E"/>
    <w:rsid w:val="112E58D0"/>
    <w:rsid w:val="11731CAC"/>
    <w:rsid w:val="119500A0"/>
    <w:rsid w:val="11C0733B"/>
    <w:rsid w:val="11D50D17"/>
    <w:rsid w:val="120E0809"/>
    <w:rsid w:val="12195B0D"/>
    <w:rsid w:val="121F796A"/>
    <w:rsid w:val="12733C7A"/>
    <w:rsid w:val="127F665A"/>
    <w:rsid w:val="12F7068C"/>
    <w:rsid w:val="132873D1"/>
    <w:rsid w:val="14207DC0"/>
    <w:rsid w:val="147436E4"/>
    <w:rsid w:val="14B932DA"/>
    <w:rsid w:val="14BA7E1E"/>
    <w:rsid w:val="14D7452C"/>
    <w:rsid w:val="150A66AF"/>
    <w:rsid w:val="154C1139"/>
    <w:rsid w:val="158C5B77"/>
    <w:rsid w:val="160D1149"/>
    <w:rsid w:val="163563C0"/>
    <w:rsid w:val="164315EF"/>
    <w:rsid w:val="16557DFE"/>
    <w:rsid w:val="167268FB"/>
    <w:rsid w:val="16D50C50"/>
    <w:rsid w:val="16E120E1"/>
    <w:rsid w:val="17345B41"/>
    <w:rsid w:val="17385A05"/>
    <w:rsid w:val="173B3901"/>
    <w:rsid w:val="176747F9"/>
    <w:rsid w:val="17954A6E"/>
    <w:rsid w:val="180059E9"/>
    <w:rsid w:val="184510FD"/>
    <w:rsid w:val="190648B0"/>
    <w:rsid w:val="19071D6C"/>
    <w:rsid w:val="19D26CD4"/>
    <w:rsid w:val="19E60D19"/>
    <w:rsid w:val="1A3E3450"/>
    <w:rsid w:val="1A693E78"/>
    <w:rsid w:val="1AD807E5"/>
    <w:rsid w:val="1B2E0C1E"/>
    <w:rsid w:val="1B39345B"/>
    <w:rsid w:val="1B612829"/>
    <w:rsid w:val="1BE13EE2"/>
    <w:rsid w:val="1BFB2A1F"/>
    <w:rsid w:val="1C015D4A"/>
    <w:rsid w:val="1C290ED5"/>
    <w:rsid w:val="1C317E4F"/>
    <w:rsid w:val="1C4053DC"/>
    <w:rsid w:val="1C472464"/>
    <w:rsid w:val="1C8359AB"/>
    <w:rsid w:val="1D22799A"/>
    <w:rsid w:val="1D5C1A72"/>
    <w:rsid w:val="1DA17DCD"/>
    <w:rsid w:val="1DAF458D"/>
    <w:rsid w:val="1DB778CB"/>
    <w:rsid w:val="1E086ACE"/>
    <w:rsid w:val="1E62130A"/>
    <w:rsid w:val="1E97358B"/>
    <w:rsid w:val="1EAA4A5F"/>
    <w:rsid w:val="1ED33FB6"/>
    <w:rsid w:val="1EE869A7"/>
    <w:rsid w:val="1F3F33F9"/>
    <w:rsid w:val="1F9951FF"/>
    <w:rsid w:val="1FA15E62"/>
    <w:rsid w:val="1FED69B6"/>
    <w:rsid w:val="2064678E"/>
    <w:rsid w:val="20DC1AB9"/>
    <w:rsid w:val="20DD6197"/>
    <w:rsid w:val="212631E0"/>
    <w:rsid w:val="21753C60"/>
    <w:rsid w:val="21A53757"/>
    <w:rsid w:val="221236C6"/>
    <w:rsid w:val="22D7662C"/>
    <w:rsid w:val="23326B7F"/>
    <w:rsid w:val="2380045B"/>
    <w:rsid w:val="23BC04D2"/>
    <w:rsid w:val="23CB7951"/>
    <w:rsid w:val="23EF1892"/>
    <w:rsid w:val="2483647E"/>
    <w:rsid w:val="24A32D55"/>
    <w:rsid w:val="25292727"/>
    <w:rsid w:val="252E5CA9"/>
    <w:rsid w:val="256F7692"/>
    <w:rsid w:val="25BA2154"/>
    <w:rsid w:val="25C8773F"/>
    <w:rsid w:val="264A7253"/>
    <w:rsid w:val="2681079B"/>
    <w:rsid w:val="26F0170C"/>
    <w:rsid w:val="27201D62"/>
    <w:rsid w:val="27286E73"/>
    <w:rsid w:val="275F6D2E"/>
    <w:rsid w:val="27CF2642"/>
    <w:rsid w:val="27E777F5"/>
    <w:rsid w:val="27EA1D4C"/>
    <w:rsid w:val="27EA2E41"/>
    <w:rsid w:val="282459E2"/>
    <w:rsid w:val="283A7FE5"/>
    <w:rsid w:val="285F51FF"/>
    <w:rsid w:val="28DF2665"/>
    <w:rsid w:val="29072599"/>
    <w:rsid w:val="291029F3"/>
    <w:rsid w:val="29CB58F0"/>
    <w:rsid w:val="2A053397"/>
    <w:rsid w:val="2A145E96"/>
    <w:rsid w:val="2A5C7555"/>
    <w:rsid w:val="2A8450D8"/>
    <w:rsid w:val="2AF5378F"/>
    <w:rsid w:val="2B6C6B8E"/>
    <w:rsid w:val="2BB94DBF"/>
    <w:rsid w:val="2BFF7666"/>
    <w:rsid w:val="2C6F314E"/>
    <w:rsid w:val="2CC206BE"/>
    <w:rsid w:val="2D033C32"/>
    <w:rsid w:val="2D1136DF"/>
    <w:rsid w:val="2D20606D"/>
    <w:rsid w:val="2D7B7CF2"/>
    <w:rsid w:val="2DB87198"/>
    <w:rsid w:val="2DB93C54"/>
    <w:rsid w:val="2DCF162E"/>
    <w:rsid w:val="2E3D144C"/>
    <w:rsid w:val="2E891204"/>
    <w:rsid w:val="2F3F0A28"/>
    <w:rsid w:val="2F452CAE"/>
    <w:rsid w:val="2F661D69"/>
    <w:rsid w:val="2FBF7029"/>
    <w:rsid w:val="2FD0187F"/>
    <w:rsid w:val="2FD27414"/>
    <w:rsid w:val="2FFE4BB0"/>
    <w:rsid w:val="300E7B60"/>
    <w:rsid w:val="300F6E18"/>
    <w:rsid w:val="306E1769"/>
    <w:rsid w:val="30862F5F"/>
    <w:rsid w:val="309B06AC"/>
    <w:rsid w:val="314029C9"/>
    <w:rsid w:val="31C63837"/>
    <w:rsid w:val="31C82E39"/>
    <w:rsid w:val="32601BAD"/>
    <w:rsid w:val="329F6389"/>
    <w:rsid w:val="335A403E"/>
    <w:rsid w:val="3389023A"/>
    <w:rsid w:val="33CB74FA"/>
    <w:rsid w:val="342A7BA0"/>
    <w:rsid w:val="343642F2"/>
    <w:rsid w:val="343F3010"/>
    <w:rsid w:val="345D0A00"/>
    <w:rsid w:val="34713BFD"/>
    <w:rsid w:val="34927DD5"/>
    <w:rsid w:val="34C13589"/>
    <w:rsid w:val="35097219"/>
    <w:rsid w:val="353369E3"/>
    <w:rsid w:val="35A61FCC"/>
    <w:rsid w:val="35E00D72"/>
    <w:rsid w:val="36160F00"/>
    <w:rsid w:val="369648D9"/>
    <w:rsid w:val="36965B9D"/>
    <w:rsid w:val="36C549FD"/>
    <w:rsid w:val="37A728A3"/>
    <w:rsid w:val="37A755DD"/>
    <w:rsid w:val="37F94FA0"/>
    <w:rsid w:val="380D3381"/>
    <w:rsid w:val="38115B1F"/>
    <w:rsid w:val="385E3AC3"/>
    <w:rsid w:val="387D6B9E"/>
    <w:rsid w:val="38B75FF0"/>
    <w:rsid w:val="38CD161E"/>
    <w:rsid w:val="38D45016"/>
    <w:rsid w:val="38D90432"/>
    <w:rsid w:val="3914510A"/>
    <w:rsid w:val="3926770B"/>
    <w:rsid w:val="398D3668"/>
    <w:rsid w:val="39BA729B"/>
    <w:rsid w:val="39DA0497"/>
    <w:rsid w:val="3A611B1D"/>
    <w:rsid w:val="3A893816"/>
    <w:rsid w:val="3A893B6D"/>
    <w:rsid w:val="3AB25A08"/>
    <w:rsid w:val="3AD1763A"/>
    <w:rsid w:val="3B273268"/>
    <w:rsid w:val="3B6716E3"/>
    <w:rsid w:val="3B6C6B2D"/>
    <w:rsid w:val="3BD553B9"/>
    <w:rsid w:val="3C242659"/>
    <w:rsid w:val="3C367F8A"/>
    <w:rsid w:val="3C8446EA"/>
    <w:rsid w:val="3C96719C"/>
    <w:rsid w:val="3CA72BE8"/>
    <w:rsid w:val="3CF37F8C"/>
    <w:rsid w:val="3D09356D"/>
    <w:rsid w:val="3D137554"/>
    <w:rsid w:val="3D5275AC"/>
    <w:rsid w:val="3D9B1CEB"/>
    <w:rsid w:val="3DAA5F13"/>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0447A5"/>
    <w:rsid w:val="41431AD5"/>
    <w:rsid w:val="414B3C0F"/>
    <w:rsid w:val="417C1CE7"/>
    <w:rsid w:val="41900018"/>
    <w:rsid w:val="41944406"/>
    <w:rsid w:val="419E58AE"/>
    <w:rsid w:val="41CE128F"/>
    <w:rsid w:val="41DA6F12"/>
    <w:rsid w:val="42171FB1"/>
    <w:rsid w:val="4249440B"/>
    <w:rsid w:val="42E47C90"/>
    <w:rsid w:val="42FC3C8E"/>
    <w:rsid w:val="434E6957"/>
    <w:rsid w:val="43BA0E31"/>
    <w:rsid w:val="43C15147"/>
    <w:rsid w:val="43E14DD2"/>
    <w:rsid w:val="43E20674"/>
    <w:rsid w:val="43F800E9"/>
    <w:rsid w:val="443A7E4B"/>
    <w:rsid w:val="452F5B3A"/>
    <w:rsid w:val="454B049A"/>
    <w:rsid w:val="454E7FD2"/>
    <w:rsid w:val="459C0CF6"/>
    <w:rsid w:val="45C76CFE"/>
    <w:rsid w:val="46061BDC"/>
    <w:rsid w:val="461404F8"/>
    <w:rsid w:val="46413018"/>
    <w:rsid w:val="464B7E04"/>
    <w:rsid w:val="468041AA"/>
    <w:rsid w:val="468123C6"/>
    <w:rsid w:val="46901EEE"/>
    <w:rsid w:val="469C74D2"/>
    <w:rsid w:val="46AF41C9"/>
    <w:rsid w:val="474311A3"/>
    <w:rsid w:val="47445515"/>
    <w:rsid w:val="474B4782"/>
    <w:rsid w:val="47D90D14"/>
    <w:rsid w:val="48387FB0"/>
    <w:rsid w:val="483A6114"/>
    <w:rsid w:val="48657AC5"/>
    <w:rsid w:val="488727DB"/>
    <w:rsid w:val="48B82268"/>
    <w:rsid w:val="48C354B3"/>
    <w:rsid w:val="49393590"/>
    <w:rsid w:val="493D58B5"/>
    <w:rsid w:val="494A7A04"/>
    <w:rsid w:val="4A010D25"/>
    <w:rsid w:val="4A0A26D2"/>
    <w:rsid w:val="4A2019A5"/>
    <w:rsid w:val="4A241A0B"/>
    <w:rsid w:val="4A7B2875"/>
    <w:rsid w:val="4A934476"/>
    <w:rsid w:val="4AAA220A"/>
    <w:rsid w:val="4AE12E67"/>
    <w:rsid w:val="4B007631"/>
    <w:rsid w:val="4B4C0111"/>
    <w:rsid w:val="4B842010"/>
    <w:rsid w:val="4B8553A9"/>
    <w:rsid w:val="4BDB3730"/>
    <w:rsid w:val="4C200F7A"/>
    <w:rsid w:val="4CEE3180"/>
    <w:rsid w:val="4D0F4AF6"/>
    <w:rsid w:val="4DF94F37"/>
    <w:rsid w:val="4E0A1DD5"/>
    <w:rsid w:val="4E3160E5"/>
    <w:rsid w:val="4E4D37AF"/>
    <w:rsid w:val="4E7146D6"/>
    <w:rsid w:val="4E8C6496"/>
    <w:rsid w:val="4EE3108F"/>
    <w:rsid w:val="4EFD18DE"/>
    <w:rsid w:val="4F144236"/>
    <w:rsid w:val="4F663C87"/>
    <w:rsid w:val="4F7E29A8"/>
    <w:rsid w:val="4F9E1FFC"/>
    <w:rsid w:val="50447CC2"/>
    <w:rsid w:val="507C1E50"/>
    <w:rsid w:val="50874A7C"/>
    <w:rsid w:val="50895EE7"/>
    <w:rsid w:val="50921B9D"/>
    <w:rsid w:val="50CB0986"/>
    <w:rsid w:val="50D16158"/>
    <w:rsid w:val="50DB5F45"/>
    <w:rsid w:val="51025EB1"/>
    <w:rsid w:val="51141503"/>
    <w:rsid w:val="518D0ED5"/>
    <w:rsid w:val="51F64B9F"/>
    <w:rsid w:val="525C687F"/>
    <w:rsid w:val="52691F60"/>
    <w:rsid w:val="52F647F7"/>
    <w:rsid w:val="52F92565"/>
    <w:rsid w:val="534D108E"/>
    <w:rsid w:val="5367649F"/>
    <w:rsid w:val="53D03877"/>
    <w:rsid w:val="542F73CA"/>
    <w:rsid w:val="5430786D"/>
    <w:rsid w:val="547333AA"/>
    <w:rsid w:val="54C811C0"/>
    <w:rsid w:val="55057D15"/>
    <w:rsid w:val="556A442D"/>
    <w:rsid w:val="55DA564E"/>
    <w:rsid w:val="5604127D"/>
    <w:rsid w:val="56166703"/>
    <w:rsid w:val="56510474"/>
    <w:rsid w:val="56861525"/>
    <w:rsid w:val="56A93273"/>
    <w:rsid w:val="56BD550C"/>
    <w:rsid w:val="56E07045"/>
    <w:rsid w:val="56FF28AF"/>
    <w:rsid w:val="57540E7D"/>
    <w:rsid w:val="576176AA"/>
    <w:rsid w:val="577B4878"/>
    <w:rsid w:val="57926973"/>
    <w:rsid w:val="57AE002E"/>
    <w:rsid w:val="5811003C"/>
    <w:rsid w:val="58175352"/>
    <w:rsid w:val="581F2200"/>
    <w:rsid w:val="583059FA"/>
    <w:rsid w:val="58403763"/>
    <w:rsid w:val="584A0929"/>
    <w:rsid w:val="58CD2491"/>
    <w:rsid w:val="591B41B2"/>
    <w:rsid w:val="59254A26"/>
    <w:rsid w:val="592945D2"/>
    <w:rsid w:val="59326325"/>
    <w:rsid w:val="595C505B"/>
    <w:rsid w:val="595E55C3"/>
    <w:rsid w:val="596811C3"/>
    <w:rsid w:val="596E7E20"/>
    <w:rsid w:val="5A60780B"/>
    <w:rsid w:val="5AB34579"/>
    <w:rsid w:val="5ACB37B8"/>
    <w:rsid w:val="5AFC6609"/>
    <w:rsid w:val="5B113480"/>
    <w:rsid w:val="5B1C6D18"/>
    <w:rsid w:val="5B9C1F99"/>
    <w:rsid w:val="5BD456CE"/>
    <w:rsid w:val="5C0C052C"/>
    <w:rsid w:val="5C0D1F49"/>
    <w:rsid w:val="5C6A5252"/>
    <w:rsid w:val="5CBB0CE2"/>
    <w:rsid w:val="5CC17177"/>
    <w:rsid w:val="5CF306BC"/>
    <w:rsid w:val="5D3F3D64"/>
    <w:rsid w:val="5D6D6DA8"/>
    <w:rsid w:val="5D833043"/>
    <w:rsid w:val="5DD92690"/>
    <w:rsid w:val="5DDB1CFD"/>
    <w:rsid w:val="5E7E6D93"/>
    <w:rsid w:val="5ED44800"/>
    <w:rsid w:val="5F350BDE"/>
    <w:rsid w:val="5F463D55"/>
    <w:rsid w:val="5F61632C"/>
    <w:rsid w:val="5FA17648"/>
    <w:rsid w:val="5FE705CB"/>
    <w:rsid w:val="603D5080"/>
    <w:rsid w:val="60D0261B"/>
    <w:rsid w:val="60D86C2E"/>
    <w:rsid w:val="616E1341"/>
    <w:rsid w:val="618E3791"/>
    <w:rsid w:val="61947DCA"/>
    <w:rsid w:val="61A46A97"/>
    <w:rsid w:val="61D1382F"/>
    <w:rsid w:val="61F114A2"/>
    <w:rsid w:val="62512BB4"/>
    <w:rsid w:val="625D7D1A"/>
    <w:rsid w:val="62DD7D21"/>
    <w:rsid w:val="63156017"/>
    <w:rsid w:val="637D586B"/>
    <w:rsid w:val="63A5560B"/>
    <w:rsid w:val="63E9091F"/>
    <w:rsid w:val="64322AF9"/>
    <w:rsid w:val="64A84B6A"/>
    <w:rsid w:val="64D6010D"/>
    <w:rsid w:val="64D82665"/>
    <w:rsid w:val="64E47C96"/>
    <w:rsid w:val="651E5741"/>
    <w:rsid w:val="65566EB6"/>
    <w:rsid w:val="658A4877"/>
    <w:rsid w:val="65A00902"/>
    <w:rsid w:val="65AB12E7"/>
    <w:rsid w:val="65AC6EDD"/>
    <w:rsid w:val="65D5198E"/>
    <w:rsid w:val="65D97752"/>
    <w:rsid w:val="660128DE"/>
    <w:rsid w:val="66085536"/>
    <w:rsid w:val="66105BF7"/>
    <w:rsid w:val="66150023"/>
    <w:rsid w:val="6628010D"/>
    <w:rsid w:val="669B4528"/>
    <w:rsid w:val="66CC12D7"/>
    <w:rsid w:val="66D30817"/>
    <w:rsid w:val="67134CEF"/>
    <w:rsid w:val="671F1ABD"/>
    <w:rsid w:val="67521A59"/>
    <w:rsid w:val="67655552"/>
    <w:rsid w:val="67C304AB"/>
    <w:rsid w:val="683F0658"/>
    <w:rsid w:val="685D143A"/>
    <w:rsid w:val="689C6793"/>
    <w:rsid w:val="68DB0208"/>
    <w:rsid w:val="68F16ADF"/>
    <w:rsid w:val="68FB170C"/>
    <w:rsid w:val="691B3D98"/>
    <w:rsid w:val="693748F0"/>
    <w:rsid w:val="69846A0E"/>
    <w:rsid w:val="69AD798C"/>
    <w:rsid w:val="69C2222A"/>
    <w:rsid w:val="69D005C0"/>
    <w:rsid w:val="69D80B96"/>
    <w:rsid w:val="6ABC2F33"/>
    <w:rsid w:val="6B68175F"/>
    <w:rsid w:val="6BA91E32"/>
    <w:rsid w:val="6BFD799F"/>
    <w:rsid w:val="6C4A2E5A"/>
    <w:rsid w:val="6C8138D0"/>
    <w:rsid w:val="6CAB7E09"/>
    <w:rsid w:val="6CEF0725"/>
    <w:rsid w:val="6D4B2604"/>
    <w:rsid w:val="6D8030E4"/>
    <w:rsid w:val="6D993B50"/>
    <w:rsid w:val="6E0E35C4"/>
    <w:rsid w:val="6E0F7A08"/>
    <w:rsid w:val="6E3947F5"/>
    <w:rsid w:val="6E3D4575"/>
    <w:rsid w:val="6E9C74ED"/>
    <w:rsid w:val="6EF72976"/>
    <w:rsid w:val="6F1E7F02"/>
    <w:rsid w:val="6F380FA9"/>
    <w:rsid w:val="6F795A80"/>
    <w:rsid w:val="6F7C1D2E"/>
    <w:rsid w:val="6F8E0407"/>
    <w:rsid w:val="6F972386"/>
    <w:rsid w:val="6FDD069F"/>
    <w:rsid w:val="702B4D16"/>
    <w:rsid w:val="708244C1"/>
    <w:rsid w:val="70AA6621"/>
    <w:rsid w:val="7111480F"/>
    <w:rsid w:val="71261F49"/>
    <w:rsid w:val="712E6956"/>
    <w:rsid w:val="71473612"/>
    <w:rsid w:val="71504F32"/>
    <w:rsid w:val="7152309F"/>
    <w:rsid w:val="718F7F65"/>
    <w:rsid w:val="71D21478"/>
    <w:rsid w:val="727B234E"/>
    <w:rsid w:val="72B2337B"/>
    <w:rsid w:val="72D068C7"/>
    <w:rsid w:val="72E42ED8"/>
    <w:rsid w:val="735F4CB9"/>
    <w:rsid w:val="73674C62"/>
    <w:rsid w:val="73845865"/>
    <w:rsid w:val="739B6D9E"/>
    <w:rsid w:val="73BC1D76"/>
    <w:rsid w:val="73FB6630"/>
    <w:rsid w:val="748D790E"/>
    <w:rsid w:val="749820CC"/>
    <w:rsid w:val="74CE04EC"/>
    <w:rsid w:val="74E76DCD"/>
    <w:rsid w:val="751D7C0A"/>
    <w:rsid w:val="75680129"/>
    <w:rsid w:val="75722D56"/>
    <w:rsid w:val="75734D20"/>
    <w:rsid w:val="75956A44"/>
    <w:rsid w:val="75AF4732"/>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3E103E"/>
    <w:rsid w:val="7A6242BF"/>
    <w:rsid w:val="7A794513"/>
    <w:rsid w:val="7AE952D2"/>
    <w:rsid w:val="7C976D69"/>
    <w:rsid w:val="7CD752DA"/>
    <w:rsid w:val="7CDE40AB"/>
    <w:rsid w:val="7CF057E2"/>
    <w:rsid w:val="7D1548B5"/>
    <w:rsid w:val="7D3C7450"/>
    <w:rsid w:val="7DF84014"/>
    <w:rsid w:val="7E207949"/>
    <w:rsid w:val="7E5C0A47"/>
    <w:rsid w:val="7E670C75"/>
    <w:rsid w:val="7EE24272"/>
    <w:rsid w:val="7EEA6053"/>
    <w:rsid w:val="7F487C04"/>
    <w:rsid w:val="7F84143B"/>
    <w:rsid w:val="7FB45F21"/>
    <w:rsid w:val="7FD340FE"/>
    <w:rsid w:val="7FE57088"/>
    <w:rsid w:val="7FF37FA3"/>
    <w:rsid w:val="7FF865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toc 3"/>
    <w:basedOn w:val="1"/>
    <w:next w:val="1"/>
    <w:autoRedefine/>
    <w:qFormat/>
    <w:uiPriority w:val="0"/>
    <w:pPr>
      <w:ind w:left="840" w:leftChars="4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autoRedefine/>
    <w:qFormat/>
    <w:uiPriority w:val="0"/>
  </w:style>
  <w:style w:type="paragraph" w:styleId="7">
    <w:name w:val="toc 2"/>
    <w:basedOn w:val="1"/>
    <w:next w:val="1"/>
    <w:autoRedefine/>
    <w:qFormat/>
    <w:uiPriority w:val="0"/>
    <w:pPr>
      <w:ind w:left="420" w:leftChars="200"/>
    </w:pPr>
  </w:style>
  <w:style w:type="paragraph" w:styleId="8">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autoRedefine/>
    <w:qFormat/>
    <w:uiPriority w:val="0"/>
    <w:rPr>
      <w:b/>
    </w:rPr>
  </w:style>
  <w:style w:type="paragraph" w:customStyle="1" w:styleId="12">
    <w:name w:val="WPSOffice手动目录 3"/>
    <w:autoRedefine/>
    <w:qFormat/>
    <w:uiPriority w:val="0"/>
    <w:pPr>
      <w:ind w:leftChars="400"/>
    </w:pPr>
    <w:rPr>
      <w:rFonts w:ascii="Times New Roman" w:hAnsi="Times New Roman" w:eastAsia="宋体" w:cs="Times New Roman"/>
      <w:sz w:val="20"/>
      <w:szCs w:val="20"/>
    </w:rPr>
  </w:style>
  <w:style w:type="paragraph" w:customStyle="1" w:styleId="13">
    <w:name w:val="WPSOffice手动目录 2"/>
    <w:autoRedefine/>
    <w:qFormat/>
    <w:uiPriority w:val="0"/>
    <w:pPr>
      <w:ind w:leftChars="200"/>
    </w:pPr>
    <w:rPr>
      <w:rFonts w:ascii="Times New Roman" w:hAnsi="Times New Roman" w:eastAsia="宋体" w:cs="Times New Roman"/>
      <w:sz w:val="20"/>
      <w:szCs w:val="20"/>
    </w:rPr>
  </w:style>
  <w:style w:type="paragraph" w:customStyle="1" w:styleId="14">
    <w:name w:val="WPSOffice手动目录 1"/>
    <w:autoRedefine/>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5521</Words>
  <Characters>6177</Characters>
  <Lines>0</Lines>
  <Paragraphs>0</Paragraphs>
  <TotalTime>0</TotalTime>
  <ScaleCrop>false</ScaleCrop>
  <LinksUpToDate>false</LinksUpToDate>
  <CharactersWithSpaces>6204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2024-08-27T16:12:36Z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E6EF468D9D5B4E96B6FD57071BD1DC96_13</vt:lpwstr>
  </property>
</Properties>
</file>