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B859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147E6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DD10D4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哈巴河县国土资源执法监察大队</w:t>
      </w:r>
    </w:p>
    <w:p w14:paraId="4460B68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0A3A21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36CCC50">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A9BD66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48A656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2BF4E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CB0D6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7C260E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E651F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8BEC1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B42F4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B5DDA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C5007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93C64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FC58A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BA388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2F76C2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B5135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02226B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E07226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95641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61EA1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71867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D7852C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5B0F0E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BA97D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DF61C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CFC7A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70A2F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1FCEF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7358B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440DE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0BA3A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705D4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ABBE8A4">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4401BA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3C5CE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B60D4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9578E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哈巴河县国土资源执法监察大队，为副科级垂直管理单位，履行哈巴河县国土资源执法监察职能，是参照国家公务员法管理的事业单位。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2、组织和实施对哈巴河县执行土地、矿产资源法律、法规、规章情况的巡查，及时发现和制止土地、矿产资源违法行为。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3、依法组织和实施哈巴河县重大土地、矿产资源违法案件的调查、取证、现场勘验工作，并进行查处。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61BEEA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AEE03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哈巴河县国土资源执法监察大队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4A2C2DA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val="en-US" w:eastAsia="zh-CN"/>
        </w:rPr>
        <w:t>室</w:t>
      </w:r>
      <w:r>
        <w:rPr>
          <w:rFonts w:hint="eastAsia" w:ascii="仿宋_GB2312" w:hAnsi="宋体" w:eastAsia="仿宋_GB2312" w:cs="宋体"/>
          <w:color w:val="auto"/>
          <w:kern w:val="0"/>
          <w:sz w:val="32"/>
          <w:szCs w:val="32"/>
          <w:highlight w:val="none"/>
        </w:rPr>
        <w:t>。</w:t>
      </w:r>
    </w:p>
    <w:p w14:paraId="5D8260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5D7BD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80DD8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108.66万元，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104.64万元，使用非财政拨款结余0.00万元，年初结转和结余4.02万元。</w:t>
      </w:r>
    </w:p>
    <w:p w14:paraId="5F19E3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108.66万元，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107.90万元，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0.00万元，年末结转和结余0.76万元。</w:t>
      </w:r>
    </w:p>
    <w:p w14:paraId="2CAD56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下降1.00%</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val="en-US" w:eastAsia="zh-CN"/>
        </w:rPr>
        <w:t>收入支出总体比上年减少。</w:t>
      </w:r>
    </w:p>
    <w:p w14:paraId="5264D6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F7AA8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104.64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104.63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8EE5D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37C9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本年支出107.90万元，其中：基本支出75.63万元，占70.09%；项目支出32.27万元，占29.91%；上缴上级支出0.00万元，占0.00%；经营支出0.00万元，占0.00%；对附属单位补助支出0.00万元，占0.00%。</w:t>
      </w:r>
    </w:p>
    <w:p w14:paraId="006844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C88F2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108.63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104.63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108.63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0.73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107.90</w:t>
      </w:r>
      <w:r>
        <w:rPr>
          <w:rFonts w:hint="eastAsia" w:ascii="仿宋_GB2312" w:eastAsia="仿宋_GB2312"/>
          <w:color w:val="auto"/>
          <w:spacing w:val="0"/>
          <w:sz w:val="32"/>
          <w:szCs w:val="32"/>
          <w:highlight w:val="none"/>
          <w:lang w:eastAsia="zh-CN"/>
        </w:rPr>
        <w:t>万元。</w:t>
      </w:r>
    </w:p>
    <w:p w14:paraId="00AB67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下降1.01%，</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val="en-US" w:eastAsia="zh-CN"/>
        </w:rPr>
        <w:t>收入支出总体比上年减少。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91.38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108.63</w:t>
      </w:r>
      <w:r>
        <w:rPr>
          <w:rFonts w:hint="eastAsia" w:ascii="仿宋_GB2312" w:eastAsia="仿宋_GB2312"/>
          <w:color w:val="auto"/>
          <w:spacing w:val="0"/>
          <w:sz w:val="32"/>
          <w:szCs w:val="32"/>
          <w:highlight w:val="none"/>
          <w:lang w:eastAsia="zh-CN"/>
        </w:rPr>
        <w:t>万元，预决算差异率18.88%，主要原因是：</w:t>
      </w:r>
      <w:r>
        <w:rPr>
          <w:rFonts w:hint="eastAsia" w:ascii="仿宋_GB2312" w:eastAsia="仿宋_GB2312"/>
          <w:color w:val="auto"/>
          <w:sz w:val="32"/>
          <w:szCs w:val="32"/>
          <w:highlight w:val="none"/>
          <w:lang w:val="zh-CN" w:eastAsia="zh-CN"/>
        </w:rPr>
        <w:t>根据考核结果追加并发放在职、退休人员年终绩效考核奖金</w:t>
      </w:r>
      <w:r>
        <w:rPr>
          <w:rFonts w:hint="eastAsia" w:ascii="仿宋_GB2312" w:eastAsia="仿宋_GB2312"/>
          <w:color w:val="auto"/>
          <w:spacing w:val="0"/>
          <w:sz w:val="32"/>
          <w:szCs w:val="32"/>
          <w:highlight w:val="none"/>
          <w:lang w:eastAsia="zh-CN"/>
        </w:rPr>
        <w:t>。</w:t>
      </w:r>
    </w:p>
    <w:p w14:paraId="6757A8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AF002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0A9C3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2023年度一般公共预算财政拨款支出107.90万元，占本年支出合计的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增长2.05%，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人员工资正常晋升导致支出增加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91.38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107.90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18.08%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根据考核结果追加并发放在职、退休人员年终绩效考核奖金，导致</w:t>
      </w:r>
      <w:r>
        <w:rPr>
          <w:rFonts w:hint="eastAsia" w:ascii="仿宋_GB2312" w:eastAsia="仿宋_GB2312"/>
          <w:color w:val="auto"/>
          <w:spacing w:val="0"/>
          <w:sz w:val="32"/>
          <w:szCs w:val="32"/>
          <w:highlight w:val="none"/>
          <w:lang w:eastAsia="zh-CN"/>
        </w:rPr>
        <w:t>决算数比预算数增加。</w:t>
      </w:r>
    </w:p>
    <w:p w14:paraId="33F1AD2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51E5D4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15.97</w:t>
      </w:r>
      <w:r>
        <w:rPr>
          <w:rFonts w:hint="default" w:ascii="仿宋_GB2312" w:hAnsi="Times New Roman" w:eastAsia="仿宋_GB2312" w:cs="Times New Roman"/>
          <w:color w:val="auto"/>
          <w:spacing w:val="0"/>
          <w:kern w:val="2"/>
          <w:sz w:val="32"/>
          <w:szCs w:val="32"/>
          <w:highlight w:val="none"/>
          <w:lang w:val="zh-CN" w:eastAsia="zh-CN" w:bidi="ar-SA"/>
        </w:rPr>
        <w:t>%；</w:t>
      </w:r>
    </w:p>
    <w:p w14:paraId="65BC121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4.65</w:t>
      </w:r>
      <w:r>
        <w:rPr>
          <w:rFonts w:hint="default" w:ascii="仿宋_GB2312" w:hAnsi="Times New Roman" w:eastAsia="仿宋_GB2312" w:cs="Times New Roman"/>
          <w:color w:val="auto"/>
          <w:spacing w:val="0"/>
          <w:kern w:val="2"/>
          <w:sz w:val="32"/>
          <w:szCs w:val="32"/>
          <w:highlight w:val="none"/>
          <w:lang w:val="zh-CN" w:eastAsia="zh-CN" w:bidi="ar-SA"/>
        </w:rPr>
        <w:t>%；</w:t>
      </w:r>
    </w:p>
    <w:p w14:paraId="383BE2A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81.65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75.67</w:t>
      </w:r>
      <w:r>
        <w:rPr>
          <w:rFonts w:hint="default" w:ascii="仿宋_GB2312" w:hAnsi="Times New Roman" w:eastAsia="仿宋_GB2312" w:cs="Times New Roman"/>
          <w:color w:val="auto"/>
          <w:spacing w:val="0"/>
          <w:kern w:val="2"/>
          <w:sz w:val="32"/>
          <w:szCs w:val="32"/>
          <w:highlight w:val="none"/>
          <w:lang w:val="zh-CN" w:eastAsia="zh-CN" w:bidi="ar-SA"/>
        </w:rPr>
        <w:t>%；</w:t>
      </w:r>
    </w:p>
    <w:p w14:paraId="1BE07B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3.71</w:t>
      </w:r>
      <w:r>
        <w:rPr>
          <w:rFonts w:hint="default" w:ascii="仿宋_GB2312" w:hAnsi="Times New Roman" w:eastAsia="仿宋_GB2312" w:cs="Times New Roman"/>
          <w:color w:val="auto"/>
          <w:spacing w:val="0"/>
          <w:kern w:val="2"/>
          <w:sz w:val="32"/>
          <w:szCs w:val="32"/>
          <w:highlight w:val="none"/>
          <w:lang w:val="zh-CN" w:eastAsia="zh-CN" w:bidi="ar-SA"/>
        </w:rPr>
        <w:t>%；</w:t>
      </w:r>
    </w:p>
    <w:p w14:paraId="28AC8A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BA506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19.15%，主要原因是：</w:t>
      </w:r>
      <w:r>
        <w:rPr>
          <w:rFonts w:hint="eastAsia" w:eastAsia="仿宋_GB2312" w:cs="Times New Roman"/>
          <w:color w:val="auto"/>
          <w:kern w:val="2"/>
          <w:sz w:val="32"/>
          <w:szCs w:val="32"/>
          <w:highlight w:val="none"/>
          <w:lang w:val="en-US" w:eastAsia="zh-CN" w:bidi="ar-SA"/>
        </w:rPr>
        <w:t>2022年末在职转退休1人，导致2023年度预算减少，因此</w:t>
      </w:r>
      <w:r>
        <w:rPr>
          <w:rFonts w:hint="eastAsia" w:ascii="Times New Roman" w:hAnsi="Times New Roman" w:eastAsia="仿宋_GB2312" w:cs="Times New Roman"/>
          <w:color w:val="auto"/>
          <w:kern w:val="2"/>
          <w:sz w:val="32"/>
          <w:szCs w:val="32"/>
          <w:highlight w:val="none"/>
          <w:lang w:val="en-US" w:eastAsia="zh-CN" w:bidi="ar-SA"/>
        </w:rPr>
        <w:t>行政单位医疗决算</w:t>
      </w:r>
      <w:r>
        <w:rPr>
          <w:rFonts w:hint="eastAsia" w:eastAsia="仿宋_GB2312" w:cs="Times New Roman"/>
          <w:color w:val="auto"/>
          <w:kern w:val="2"/>
          <w:sz w:val="32"/>
          <w:szCs w:val="32"/>
          <w:highlight w:val="none"/>
          <w:lang w:val="en-US" w:eastAsia="zh-CN" w:bidi="ar-SA"/>
        </w:rPr>
        <w:t>支出数比上年减少</w:t>
      </w:r>
      <w:r>
        <w:rPr>
          <w:rFonts w:hint="eastAsia" w:eastAsia="仿宋_GB2312" w:cs="Times New Roman"/>
          <w:color w:val="auto"/>
          <w:kern w:val="2"/>
          <w:sz w:val="32"/>
          <w:szCs w:val="32"/>
          <w:highlight w:val="none"/>
          <w:lang w:val="zh-CN" w:eastAsia="zh-CN" w:bidi="ar-SA"/>
        </w:rPr>
        <w:t>。</w:t>
      </w:r>
    </w:p>
    <w:p w14:paraId="184244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9.70%，主要原因是：</w:t>
      </w:r>
      <w:r>
        <w:rPr>
          <w:rFonts w:hint="eastAsia" w:eastAsia="仿宋_GB2312" w:cs="Times New Roman"/>
          <w:color w:val="auto"/>
          <w:kern w:val="2"/>
          <w:sz w:val="32"/>
          <w:szCs w:val="32"/>
          <w:highlight w:val="none"/>
          <w:lang w:val="en-US" w:eastAsia="zh-CN" w:bidi="ar-SA"/>
        </w:rPr>
        <w:t>2022年末在职转退休1人，导致2023年度公务员医疗补助减少，因此</w:t>
      </w:r>
      <w:r>
        <w:rPr>
          <w:rFonts w:hint="eastAsia" w:ascii="Times New Roman" w:hAnsi="Times New Roman" w:eastAsia="仿宋_GB2312" w:cs="Times New Roman"/>
          <w:color w:val="auto"/>
          <w:kern w:val="2"/>
          <w:sz w:val="32"/>
          <w:szCs w:val="32"/>
          <w:highlight w:val="none"/>
          <w:lang w:val="en-US" w:eastAsia="zh-CN" w:bidi="ar-SA"/>
        </w:rPr>
        <w:t>公务员医疗补助决算</w:t>
      </w:r>
      <w:r>
        <w:rPr>
          <w:rFonts w:hint="eastAsia" w:eastAsia="仿宋_GB2312" w:cs="Times New Roman"/>
          <w:color w:val="auto"/>
          <w:kern w:val="2"/>
          <w:sz w:val="32"/>
          <w:szCs w:val="32"/>
          <w:highlight w:val="none"/>
          <w:lang w:val="en-US" w:eastAsia="zh-CN" w:bidi="ar-SA"/>
        </w:rPr>
        <w:t>支出数比上年减少</w:t>
      </w:r>
      <w:r>
        <w:rPr>
          <w:rFonts w:hint="eastAsia" w:eastAsia="仿宋_GB2312" w:cs="Times New Roman"/>
          <w:color w:val="auto"/>
          <w:kern w:val="2"/>
          <w:sz w:val="32"/>
          <w:szCs w:val="32"/>
          <w:highlight w:val="none"/>
          <w:lang w:val="zh-CN" w:eastAsia="zh-CN" w:bidi="ar-SA"/>
        </w:rPr>
        <w:t>。</w:t>
      </w:r>
    </w:p>
    <w:p w14:paraId="33E7F8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3.自然资源海洋气象等支出（类）自然资源事务（款）其他自然资源事务支出（项）:支出决算数为32.27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32.99%，主要原因是：</w:t>
      </w:r>
      <w:r>
        <w:rPr>
          <w:rFonts w:hint="eastAsia" w:eastAsia="仿宋_GB2312" w:cs="Times New Roman"/>
          <w:color w:val="auto"/>
          <w:kern w:val="2"/>
          <w:sz w:val="32"/>
          <w:szCs w:val="32"/>
          <w:highlight w:val="none"/>
          <w:lang w:val="zh-CN" w:eastAsia="zh-CN" w:bidi="ar-SA"/>
        </w:rPr>
        <w:t>本年度执法工作量加大，执法办案成本增加，导致项目经费增加。</w:t>
      </w:r>
    </w:p>
    <w:p w14:paraId="75BA84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4.自然资源海洋气象等支出（类）自然资源事务（款）行政运行（项）:支出决算数为49.38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16.47%，主要原因是：</w:t>
      </w:r>
      <w:r>
        <w:rPr>
          <w:rFonts w:hint="eastAsia" w:eastAsia="仿宋_GB2312" w:cs="Times New Roman"/>
          <w:color w:val="auto"/>
          <w:kern w:val="2"/>
          <w:sz w:val="32"/>
          <w:szCs w:val="32"/>
          <w:highlight w:val="none"/>
          <w:lang w:val="en-US" w:eastAsia="zh-CN" w:bidi="ar-SA"/>
        </w:rPr>
        <w:t>2022年末在职转退休1人，导致2023年度人员工资福利支出减少，因此</w:t>
      </w:r>
      <w:r>
        <w:rPr>
          <w:rFonts w:hint="eastAsia" w:ascii="Times New Roman" w:hAnsi="Times New Roman" w:eastAsia="仿宋_GB2312" w:cs="Times New Roman"/>
          <w:color w:val="auto"/>
          <w:kern w:val="2"/>
          <w:sz w:val="32"/>
          <w:szCs w:val="32"/>
          <w:highlight w:val="none"/>
          <w:lang w:val="en-US" w:eastAsia="zh-CN" w:bidi="ar-SA"/>
        </w:rPr>
        <w:t>行政运行决算</w:t>
      </w:r>
      <w:r>
        <w:rPr>
          <w:rFonts w:hint="eastAsia" w:eastAsia="仿宋_GB2312" w:cs="Times New Roman"/>
          <w:color w:val="auto"/>
          <w:kern w:val="2"/>
          <w:sz w:val="32"/>
          <w:szCs w:val="32"/>
          <w:highlight w:val="none"/>
          <w:lang w:val="en-US" w:eastAsia="zh-CN" w:bidi="ar-SA"/>
        </w:rPr>
        <w:t>支出数比上年减少</w:t>
      </w:r>
      <w:r>
        <w:rPr>
          <w:rFonts w:hint="eastAsia" w:eastAsia="仿宋_GB2312" w:cs="Times New Roman"/>
          <w:color w:val="auto"/>
          <w:kern w:val="2"/>
          <w:sz w:val="32"/>
          <w:szCs w:val="32"/>
          <w:highlight w:val="none"/>
          <w:lang w:val="zh-CN" w:eastAsia="zh-CN" w:bidi="ar-SA"/>
        </w:rPr>
        <w:t>。</w:t>
      </w:r>
    </w:p>
    <w:p w14:paraId="3015E4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12.94%，主要原因是：</w:t>
      </w:r>
      <w:r>
        <w:rPr>
          <w:rFonts w:hint="eastAsia" w:eastAsia="仿宋_GB2312" w:cs="Times New Roman"/>
          <w:color w:val="auto"/>
          <w:kern w:val="2"/>
          <w:sz w:val="32"/>
          <w:szCs w:val="32"/>
          <w:highlight w:val="none"/>
          <w:lang w:val="en-US" w:eastAsia="zh-CN" w:bidi="ar-SA"/>
        </w:rPr>
        <w:t>2022年末在职转退休1人，导致2023年度住房公积金基数降低，因此</w:t>
      </w:r>
      <w:r>
        <w:rPr>
          <w:rFonts w:hint="eastAsia" w:ascii="Times New Roman" w:hAnsi="Times New Roman" w:eastAsia="仿宋_GB2312" w:cs="Times New Roman"/>
          <w:color w:val="auto"/>
          <w:kern w:val="2"/>
          <w:sz w:val="32"/>
          <w:szCs w:val="32"/>
          <w:highlight w:val="none"/>
          <w:lang w:val="en-US" w:eastAsia="zh-CN" w:bidi="ar-SA"/>
        </w:rPr>
        <w:t>住房公积金决算</w:t>
      </w:r>
      <w:r>
        <w:rPr>
          <w:rFonts w:hint="eastAsia" w:eastAsia="仿宋_GB2312" w:cs="Times New Roman"/>
          <w:color w:val="auto"/>
          <w:kern w:val="2"/>
          <w:sz w:val="32"/>
          <w:szCs w:val="32"/>
          <w:highlight w:val="none"/>
          <w:lang w:val="en-US" w:eastAsia="zh-CN" w:bidi="ar-SA"/>
        </w:rPr>
        <w:t>支出数比上年减少</w:t>
      </w:r>
      <w:r>
        <w:rPr>
          <w:rFonts w:hint="eastAsia" w:eastAsia="仿宋_GB2312" w:cs="Times New Roman"/>
          <w:color w:val="auto"/>
          <w:kern w:val="2"/>
          <w:sz w:val="32"/>
          <w:szCs w:val="32"/>
          <w:highlight w:val="none"/>
          <w:lang w:val="zh-CN" w:eastAsia="zh-CN" w:bidi="ar-SA"/>
        </w:rPr>
        <w:t>。</w:t>
      </w:r>
    </w:p>
    <w:p w14:paraId="5F1E80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3.41%，主要原因是：</w:t>
      </w:r>
      <w:r>
        <w:rPr>
          <w:rFonts w:hint="eastAsia" w:eastAsia="仿宋_GB2312" w:cs="Times New Roman"/>
          <w:color w:val="auto"/>
          <w:kern w:val="2"/>
          <w:sz w:val="32"/>
          <w:szCs w:val="32"/>
          <w:highlight w:val="none"/>
          <w:lang w:val="en-US" w:eastAsia="zh-CN" w:bidi="ar-SA"/>
        </w:rPr>
        <w:t>2022年末在职转退休1人，增加退休人员独生子女费，交通费，导致</w:t>
      </w:r>
      <w:r>
        <w:rPr>
          <w:rFonts w:hint="eastAsia" w:ascii="Times New Roman" w:hAnsi="Times New Roman" w:eastAsia="仿宋_GB2312" w:cs="Times New Roman"/>
          <w:color w:val="auto"/>
          <w:kern w:val="2"/>
          <w:sz w:val="32"/>
          <w:szCs w:val="32"/>
          <w:highlight w:val="none"/>
          <w:lang w:val="en-US" w:eastAsia="zh-CN" w:bidi="ar-SA"/>
        </w:rPr>
        <w:t>行政单位离退休决算</w:t>
      </w:r>
      <w:r>
        <w:rPr>
          <w:rFonts w:hint="eastAsia" w:eastAsia="仿宋_GB2312" w:cs="Times New Roman"/>
          <w:color w:val="auto"/>
          <w:kern w:val="2"/>
          <w:sz w:val="32"/>
          <w:szCs w:val="32"/>
          <w:highlight w:val="none"/>
          <w:lang w:val="en-US" w:eastAsia="zh-CN" w:bidi="ar-SA"/>
        </w:rPr>
        <w:t>支出数比上年增加</w:t>
      </w:r>
      <w:r>
        <w:rPr>
          <w:rFonts w:hint="eastAsia" w:eastAsia="仿宋_GB2312" w:cs="Times New Roman"/>
          <w:color w:val="auto"/>
          <w:kern w:val="2"/>
          <w:sz w:val="32"/>
          <w:szCs w:val="32"/>
          <w:highlight w:val="none"/>
          <w:lang w:val="zh-CN" w:eastAsia="zh-CN" w:bidi="ar-SA"/>
        </w:rPr>
        <w:t>。</w:t>
      </w:r>
    </w:p>
    <w:p w14:paraId="1B87D1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本年度追加2022年退休人员职业年金</w:t>
      </w:r>
      <w:r>
        <w:rPr>
          <w:rFonts w:hint="eastAsia" w:eastAsia="仿宋_GB2312" w:cs="Times New Roman"/>
          <w:color w:val="auto"/>
          <w:kern w:val="2"/>
          <w:sz w:val="32"/>
          <w:szCs w:val="32"/>
          <w:highlight w:val="none"/>
          <w:lang w:val="zh-CN" w:eastAsia="zh-CN" w:bidi="ar-SA"/>
        </w:rPr>
        <w:t>。</w:t>
      </w:r>
    </w:p>
    <w:p w14:paraId="085F51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12.94%，主要原因是：</w:t>
      </w:r>
      <w:r>
        <w:rPr>
          <w:rFonts w:hint="eastAsia" w:eastAsia="仿宋_GB2312" w:cs="Times New Roman"/>
          <w:color w:val="auto"/>
          <w:kern w:val="2"/>
          <w:sz w:val="32"/>
          <w:szCs w:val="32"/>
          <w:highlight w:val="none"/>
          <w:lang w:val="en-US" w:eastAsia="zh-CN" w:bidi="ar-SA"/>
        </w:rPr>
        <w:t>2022年末在职转退休1人，2023年度养老保险基数减少，导致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机关事业单位基本养老保险缴费决算</w:t>
      </w:r>
      <w:r>
        <w:rPr>
          <w:rFonts w:hint="eastAsia" w:eastAsia="仿宋_GB2312" w:cs="Times New Roman"/>
          <w:color w:val="auto"/>
          <w:kern w:val="2"/>
          <w:sz w:val="32"/>
          <w:szCs w:val="32"/>
          <w:highlight w:val="none"/>
          <w:lang w:val="en-US" w:eastAsia="zh-CN" w:bidi="ar-SA"/>
        </w:rPr>
        <w:t>支出数比上年减少</w:t>
      </w:r>
      <w:r>
        <w:rPr>
          <w:rFonts w:hint="eastAsia" w:eastAsia="仿宋_GB2312" w:cs="Times New Roman"/>
          <w:color w:val="auto"/>
          <w:kern w:val="2"/>
          <w:sz w:val="32"/>
          <w:szCs w:val="32"/>
          <w:highlight w:val="none"/>
          <w:lang w:val="zh-CN" w:eastAsia="zh-CN" w:bidi="ar-SA"/>
        </w:rPr>
        <w:t>。</w:t>
      </w:r>
    </w:p>
    <w:p w14:paraId="06A0FE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E5D637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75.63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71.62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其他对个人和家庭的补助。</w:t>
      </w:r>
    </w:p>
    <w:p w14:paraId="79810C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 xml:space="preserve">办公费、水费、邮电费、取暖费、差旅费、工会经费、福利费、其他交通费用。 </w:t>
      </w:r>
    </w:p>
    <w:p w14:paraId="2D8CEA7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C6A77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62EEE35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A2084E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0B9EE5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color w:val="auto"/>
          <w:sz w:val="32"/>
          <w:szCs w:val="32"/>
          <w:highlight w:val="none"/>
          <w:lang w:val="zh-CN" w:eastAsia="zh-CN"/>
        </w:rPr>
        <w:t>。</w:t>
      </w:r>
    </w:p>
    <w:p w14:paraId="63EB484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FC44281">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687358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4CF83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C176DA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20BCD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C8D4E2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490B0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C1E68E6">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哈巴河县国土资源执法监察大队（行政单位和参照公务员法管理事业单位）机关运行经费支出4.01万元，比上年减少0.93万元，下降18.90%，主要原因是：</w:t>
      </w:r>
      <w:r>
        <w:rPr>
          <w:rFonts w:hint="eastAsia" w:eastAsia="仿宋_GB2312" w:cs="Times New Roman"/>
          <w:color w:val="auto"/>
          <w:sz w:val="32"/>
          <w:szCs w:val="32"/>
          <w:highlight w:val="none"/>
          <w:lang w:val="en-US" w:eastAsia="zh-CN"/>
        </w:rPr>
        <w:t>2022年末在职转退休1人，2023年</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预算取数减少，导致</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决算支出数</w:t>
      </w:r>
      <w:r>
        <w:rPr>
          <w:rFonts w:hint="eastAsia" w:ascii="Times New Roman" w:hAnsi="Times New Roman" w:eastAsia="仿宋_GB2312" w:cs="Times New Roman"/>
          <w:color w:val="auto"/>
          <w:sz w:val="32"/>
          <w:szCs w:val="32"/>
          <w:highlight w:val="none"/>
          <w:lang w:val="en-US" w:eastAsia="zh-CN"/>
        </w:rPr>
        <w:t>比上年减少。</w:t>
      </w:r>
    </w:p>
    <w:p w14:paraId="52A294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6FFB1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C40A7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C837E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33493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80.15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屋96.13平方米，价值19.23万元。车辆2辆，价值36.60万元，其中：副部（省）级及以上领导用车0辆、主要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ABCD8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0628EFA">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79C26D2C">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979F91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1BDF40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BBB7C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3B8E6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D1FA4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05AE7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EA7D1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0A830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09364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246AB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D128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5A444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85104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1BF960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43787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DA6138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699DD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B3D12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06ADA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415FEE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AF8E4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9776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931DB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C62A3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91AD7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7A16B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E0A71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F6EA5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77F6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CB9D0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ACB9D0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7D2D3A"/>
    <w:rsid w:val="02BD3108"/>
    <w:rsid w:val="02F73D26"/>
    <w:rsid w:val="034D4FEF"/>
    <w:rsid w:val="035D1785"/>
    <w:rsid w:val="039F47CE"/>
    <w:rsid w:val="03E05CE8"/>
    <w:rsid w:val="03F973EE"/>
    <w:rsid w:val="03FB485E"/>
    <w:rsid w:val="043E5B56"/>
    <w:rsid w:val="04A171B4"/>
    <w:rsid w:val="04C04386"/>
    <w:rsid w:val="04FA68C4"/>
    <w:rsid w:val="053F5AE6"/>
    <w:rsid w:val="057C0B0F"/>
    <w:rsid w:val="05EF4B48"/>
    <w:rsid w:val="05F76ECA"/>
    <w:rsid w:val="06180A96"/>
    <w:rsid w:val="06792773"/>
    <w:rsid w:val="06A116ED"/>
    <w:rsid w:val="06AC0092"/>
    <w:rsid w:val="06B156A8"/>
    <w:rsid w:val="07093795"/>
    <w:rsid w:val="07252D2E"/>
    <w:rsid w:val="07373BBB"/>
    <w:rsid w:val="07804730"/>
    <w:rsid w:val="079052BE"/>
    <w:rsid w:val="08145C21"/>
    <w:rsid w:val="0817778D"/>
    <w:rsid w:val="083B791F"/>
    <w:rsid w:val="08422688"/>
    <w:rsid w:val="085854ED"/>
    <w:rsid w:val="0879188F"/>
    <w:rsid w:val="08A0354D"/>
    <w:rsid w:val="08A97E88"/>
    <w:rsid w:val="08CD4C49"/>
    <w:rsid w:val="09114954"/>
    <w:rsid w:val="095A5B83"/>
    <w:rsid w:val="096466E3"/>
    <w:rsid w:val="0968304D"/>
    <w:rsid w:val="09AF3D17"/>
    <w:rsid w:val="0A756EBC"/>
    <w:rsid w:val="0A7809B7"/>
    <w:rsid w:val="0A7B4867"/>
    <w:rsid w:val="0A840954"/>
    <w:rsid w:val="0A9928ED"/>
    <w:rsid w:val="0AFF2E86"/>
    <w:rsid w:val="0B61769D"/>
    <w:rsid w:val="0B8C3ECC"/>
    <w:rsid w:val="0B9C639D"/>
    <w:rsid w:val="0BB052B2"/>
    <w:rsid w:val="0BD33FFC"/>
    <w:rsid w:val="0BDE0828"/>
    <w:rsid w:val="0BE97AC1"/>
    <w:rsid w:val="0C1C4780"/>
    <w:rsid w:val="0C3613A3"/>
    <w:rsid w:val="0C3B1F61"/>
    <w:rsid w:val="0C5E519C"/>
    <w:rsid w:val="0C7227A7"/>
    <w:rsid w:val="0CA52EE8"/>
    <w:rsid w:val="0CBD6988"/>
    <w:rsid w:val="0CD208AC"/>
    <w:rsid w:val="0D4903E8"/>
    <w:rsid w:val="0D7A4A46"/>
    <w:rsid w:val="0E062B8F"/>
    <w:rsid w:val="0E424747"/>
    <w:rsid w:val="0E640559"/>
    <w:rsid w:val="0E9E6313"/>
    <w:rsid w:val="0F1113DA"/>
    <w:rsid w:val="0F78534A"/>
    <w:rsid w:val="0F89358A"/>
    <w:rsid w:val="0F8C6D51"/>
    <w:rsid w:val="0FEB39D9"/>
    <w:rsid w:val="105B0B5E"/>
    <w:rsid w:val="112E58D0"/>
    <w:rsid w:val="113413B0"/>
    <w:rsid w:val="113E4A7D"/>
    <w:rsid w:val="11731CAC"/>
    <w:rsid w:val="119500A0"/>
    <w:rsid w:val="11C0733B"/>
    <w:rsid w:val="11D50D17"/>
    <w:rsid w:val="11DF131B"/>
    <w:rsid w:val="120E0809"/>
    <w:rsid w:val="127F665A"/>
    <w:rsid w:val="12BC165D"/>
    <w:rsid w:val="12F7068C"/>
    <w:rsid w:val="12F74616"/>
    <w:rsid w:val="14207DC0"/>
    <w:rsid w:val="144E2A5F"/>
    <w:rsid w:val="146855F8"/>
    <w:rsid w:val="14A62A4C"/>
    <w:rsid w:val="14B932DA"/>
    <w:rsid w:val="14C863AB"/>
    <w:rsid w:val="15035321"/>
    <w:rsid w:val="150A66AF"/>
    <w:rsid w:val="154C1139"/>
    <w:rsid w:val="158C5B77"/>
    <w:rsid w:val="160D1149"/>
    <w:rsid w:val="16105F47"/>
    <w:rsid w:val="163563C0"/>
    <w:rsid w:val="163C1560"/>
    <w:rsid w:val="164315EF"/>
    <w:rsid w:val="16557DFE"/>
    <w:rsid w:val="167268FB"/>
    <w:rsid w:val="16D50C50"/>
    <w:rsid w:val="16E120E1"/>
    <w:rsid w:val="17385A05"/>
    <w:rsid w:val="173B3901"/>
    <w:rsid w:val="176747F9"/>
    <w:rsid w:val="17954A6E"/>
    <w:rsid w:val="180059E9"/>
    <w:rsid w:val="184510FD"/>
    <w:rsid w:val="190648B0"/>
    <w:rsid w:val="19071D6C"/>
    <w:rsid w:val="191915B7"/>
    <w:rsid w:val="19406B43"/>
    <w:rsid w:val="19D26CD4"/>
    <w:rsid w:val="19E60D19"/>
    <w:rsid w:val="1A3E3450"/>
    <w:rsid w:val="1A9A2283"/>
    <w:rsid w:val="1AC75042"/>
    <w:rsid w:val="1AD807E5"/>
    <w:rsid w:val="1B005ABE"/>
    <w:rsid w:val="1B39345B"/>
    <w:rsid w:val="1BFB2A1F"/>
    <w:rsid w:val="1C015D4A"/>
    <w:rsid w:val="1C290ED5"/>
    <w:rsid w:val="1C317E4F"/>
    <w:rsid w:val="1C472464"/>
    <w:rsid w:val="1C901B90"/>
    <w:rsid w:val="1D22799A"/>
    <w:rsid w:val="1D344C11"/>
    <w:rsid w:val="1D5C1A72"/>
    <w:rsid w:val="1D962BCE"/>
    <w:rsid w:val="1DAF458D"/>
    <w:rsid w:val="1DB171E5"/>
    <w:rsid w:val="1E086ACE"/>
    <w:rsid w:val="1E62130A"/>
    <w:rsid w:val="1E97358B"/>
    <w:rsid w:val="1EAA4A5F"/>
    <w:rsid w:val="1EBF14A2"/>
    <w:rsid w:val="1EE869A7"/>
    <w:rsid w:val="1FA15E62"/>
    <w:rsid w:val="1FAB6CE1"/>
    <w:rsid w:val="1FED69B6"/>
    <w:rsid w:val="2064678E"/>
    <w:rsid w:val="206770AC"/>
    <w:rsid w:val="20DC1AB9"/>
    <w:rsid w:val="20DD6197"/>
    <w:rsid w:val="212631E0"/>
    <w:rsid w:val="21A53757"/>
    <w:rsid w:val="221236C6"/>
    <w:rsid w:val="22D7662C"/>
    <w:rsid w:val="22FD5AA5"/>
    <w:rsid w:val="23326B7F"/>
    <w:rsid w:val="2380045B"/>
    <w:rsid w:val="23BC04D2"/>
    <w:rsid w:val="23EF1892"/>
    <w:rsid w:val="2483647E"/>
    <w:rsid w:val="249B4A95"/>
    <w:rsid w:val="24A32D55"/>
    <w:rsid w:val="25237319"/>
    <w:rsid w:val="25292727"/>
    <w:rsid w:val="252E5CA9"/>
    <w:rsid w:val="256F7692"/>
    <w:rsid w:val="25BA2154"/>
    <w:rsid w:val="25C8773F"/>
    <w:rsid w:val="25D53C59"/>
    <w:rsid w:val="26170C2C"/>
    <w:rsid w:val="264A7253"/>
    <w:rsid w:val="26F0170C"/>
    <w:rsid w:val="27075144"/>
    <w:rsid w:val="27201D62"/>
    <w:rsid w:val="27286E73"/>
    <w:rsid w:val="275B2D9A"/>
    <w:rsid w:val="27CF2642"/>
    <w:rsid w:val="27D50D9F"/>
    <w:rsid w:val="27E777F5"/>
    <w:rsid w:val="27EA1D4C"/>
    <w:rsid w:val="27EA2E41"/>
    <w:rsid w:val="282459E2"/>
    <w:rsid w:val="283A7FE5"/>
    <w:rsid w:val="285F51FF"/>
    <w:rsid w:val="28DF2665"/>
    <w:rsid w:val="29072599"/>
    <w:rsid w:val="291029F3"/>
    <w:rsid w:val="29CB58F0"/>
    <w:rsid w:val="2A053397"/>
    <w:rsid w:val="2A145E96"/>
    <w:rsid w:val="2A557F75"/>
    <w:rsid w:val="2A832D34"/>
    <w:rsid w:val="2AF46F79"/>
    <w:rsid w:val="2AF5378F"/>
    <w:rsid w:val="2BB94DBF"/>
    <w:rsid w:val="2C2F10D4"/>
    <w:rsid w:val="2C6F314E"/>
    <w:rsid w:val="2C775313"/>
    <w:rsid w:val="2CC206BE"/>
    <w:rsid w:val="2D1136DF"/>
    <w:rsid w:val="2D20606D"/>
    <w:rsid w:val="2DB87198"/>
    <w:rsid w:val="2DB93C54"/>
    <w:rsid w:val="2E3D144C"/>
    <w:rsid w:val="2E713741"/>
    <w:rsid w:val="2E891204"/>
    <w:rsid w:val="2E8C5F2F"/>
    <w:rsid w:val="2E9D638E"/>
    <w:rsid w:val="2F3F0A28"/>
    <w:rsid w:val="2FBF7029"/>
    <w:rsid w:val="2FD0187F"/>
    <w:rsid w:val="2FD27414"/>
    <w:rsid w:val="2FFE4BB0"/>
    <w:rsid w:val="300E7B60"/>
    <w:rsid w:val="300F6E18"/>
    <w:rsid w:val="30862F5F"/>
    <w:rsid w:val="308B12EC"/>
    <w:rsid w:val="314029C9"/>
    <w:rsid w:val="31642EB0"/>
    <w:rsid w:val="31C63837"/>
    <w:rsid w:val="31C82E39"/>
    <w:rsid w:val="32300A6C"/>
    <w:rsid w:val="32601BAD"/>
    <w:rsid w:val="329F6389"/>
    <w:rsid w:val="3388623D"/>
    <w:rsid w:val="3389023A"/>
    <w:rsid w:val="33BE1D97"/>
    <w:rsid w:val="33CB74FA"/>
    <w:rsid w:val="343642F2"/>
    <w:rsid w:val="343F3010"/>
    <w:rsid w:val="345D0A00"/>
    <w:rsid w:val="34713BFD"/>
    <w:rsid w:val="34C13589"/>
    <w:rsid w:val="353369E3"/>
    <w:rsid w:val="35467954"/>
    <w:rsid w:val="35E00D72"/>
    <w:rsid w:val="3688599E"/>
    <w:rsid w:val="36965B9D"/>
    <w:rsid w:val="36C549FD"/>
    <w:rsid w:val="36DB7A54"/>
    <w:rsid w:val="37A755DD"/>
    <w:rsid w:val="37F94FA0"/>
    <w:rsid w:val="380D3381"/>
    <w:rsid w:val="38115B1F"/>
    <w:rsid w:val="385E3AC3"/>
    <w:rsid w:val="387D6B9E"/>
    <w:rsid w:val="38B75FF0"/>
    <w:rsid w:val="38D45016"/>
    <w:rsid w:val="38D90432"/>
    <w:rsid w:val="3914510A"/>
    <w:rsid w:val="3926770B"/>
    <w:rsid w:val="39382F3B"/>
    <w:rsid w:val="398D3668"/>
    <w:rsid w:val="39DA0497"/>
    <w:rsid w:val="3A3E4582"/>
    <w:rsid w:val="3A893816"/>
    <w:rsid w:val="3A893B6D"/>
    <w:rsid w:val="3AD1763A"/>
    <w:rsid w:val="3B634772"/>
    <w:rsid w:val="3B6716E3"/>
    <w:rsid w:val="3B6C6B2D"/>
    <w:rsid w:val="3C1C3D9E"/>
    <w:rsid w:val="3C242659"/>
    <w:rsid w:val="3C5E5CBD"/>
    <w:rsid w:val="3C96719C"/>
    <w:rsid w:val="3CA72BE8"/>
    <w:rsid w:val="3CF37F8C"/>
    <w:rsid w:val="3D137554"/>
    <w:rsid w:val="3D5275AC"/>
    <w:rsid w:val="3D5642D8"/>
    <w:rsid w:val="3DA94408"/>
    <w:rsid w:val="3DC6320C"/>
    <w:rsid w:val="3DCC2473"/>
    <w:rsid w:val="3DEB0883"/>
    <w:rsid w:val="3E2527BF"/>
    <w:rsid w:val="3E731662"/>
    <w:rsid w:val="3E8168DD"/>
    <w:rsid w:val="3EA7725F"/>
    <w:rsid w:val="3EB03713"/>
    <w:rsid w:val="3EBF1A11"/>
    <w:rsid w:val="3EC52607"/>
    <w:rsid w:val="3EE002FD"/>
    <w:rsid w:val="3EEC6CEF"/>
    <w:rsid w:val="3F0D6C58"/>
    <w:rsid w:val="3F183429"/>
    <w:rsid w:val="3FB5178A"/>
    <w:rsid w:val="3FB77A1D"/>
    <w:rsid w:val="3FDC3674"/>
    <w:rsid w:val="3FED7F8A"/>
    <w:rsid w:val="3FF102E8"/>
    <w:rsid w:val="40094AEF"/>
    <w:rsid w:val="405470BD"/>
    <w:rsid w:val="40794A29"/>
    <w:rsid w:val="407C5E04"/>
    <w:rsid w:val="40834692"/>
    <w:rsid w:val="41083B3B"/>
    <w:rsid w:val="41431AD5"/>
    <w:rsid w:val="414B3C0F"/>
    <w:rsid w:val="417C1CE7"/>
    <w:rsid w:val="41900018"/>
    <w:rsid w:val="41944406"/>
    <w:rsid w:val="41CE128F"/>
    <w:rsid w:val="41DA6F12"/>
    <w:rsid w:val="42171FB1"/>
    <w:rsid w:val="4251506E"/>
    <w:rsid w:val="427174BE"/>
    <w:rsid w:val="42CF2B62"/>
    <w:rsid w:val="43036368"/>
    <w:rsid w:val="43324E9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D02E6E"/>
    <w:rsid w:val="47445515"/>
    <w:rsid w:val="474B4782"/>
    <w:rsid w:val="478F466E"/>
    <w:rsid w:val="47D90D14"/>
    <w:rsid w:val="480648CF"/>
    <w:rsid w:val="48387FB0"/>
    <w:rsid w:val="483A6114"/>
    <w:rsid w:val="488727DB"/>
    <w:rsid w:val="48B82268"/>
    <w:rsid w:val="48C354B3"/>
    <w:rsid w:val="493D58B5"/>
    <w:rsid w:val="494A7A04"/>
    <w:rsid w:val="49865B91"/>
    <w:rsid w:val="49A44B83"/>
    <w:rsid w:val="4A050C18"/>
    <w:rsid w:val="4A0A26D2"/>
    <w:rsid w:val="4A2019A5"/>
    <w:rsid w:val="4A241A0B"/>
    <w:rsid w:val="4A631737"/>
    <w:rsid w:val="4A7B2875"/>
    <w:rsid w:val="4A934476"/>
    <w:rsid w:val="4AAA220A"/>
    <w:rsid w:val="4AE12E67"/>
    <w:rsid w:val="4B4C0111"/>
    <w:rsid w:val="4B8553A9"/>
    <w:rsid w:val="4B887D52"/>
    <w:rsid w:val="4BDB3730"/>
    <w:rsid w:val="4C200F7A"/>
    <w:rsid w:val="4C9646F1"/>
    <w:rsid w:val="4CC624B4"/>
    <w:rsid w:val="4CEE3180"/>
    <w:rsid w:val="4D0F4AF6"/>
    <w:rsid w:val="4DF94F37"/>
    <w:rsid w:val="4E0A1DD5"/>
    <w:rsid w:val="4E3160E5"/>
    <w:rsid w:val="4E4D37AF"/>
    <w:rsid w:val="4E8C6496"/>
    <w:rsid w:val="4EFD18DE"/>
    <w:rsid w:val="4F144236"/>
    <w:rsid w:val="4F2833E3"/>
    <w:rsid w:val="4F663C87"/>
    <w:rsid w:val="4F7E29A8"/>
    <w:rsid w:val="4F9E1FFC"/>
    <w:rsid w:val="50447CC2"/>
    <w:rsid w:val="50874A7C"/>
    <w:rsid w:val="50895EE7"/>
    <w:rsid w:val="50921B9D"/>
    <w:rsid w:val="50A218B6"/>
    <w:rsid w:val="50AD3DB7"/>
    <w:rsid w:val="50B05655"/>
    <w:rsid w:val="50B54D9E"/>
    <w:rsid w:val="50D16158"/>
    <w:rsid w:val="50DB5F45"/>
    <w:rsid w:val="50DE6667"/>
    <w:rsid w:val="51025EB1"/>
    <w:rsid w:val="51141503"/>
    <w:rsid w:val="512B7333"/>
    <w:rsid w:val="51890380"/>
    <w:rsid w:val="518D0ED5"/>
    <w:rsid w:val="520143BB"/>
    <w:rsid w:val="525C687F"/>
    <w:rsid w:val="52F647F7"/>
    <w:rsid w:val="52F92565"/>
    <w:rsid w:val="53A60C1E"/>
    <w:rsid w:val="53D03877"/>
    <w:rsid w:val="5413297B"/>
    <w:rsid w:val="5426635A"/>
    <w:rsid w:val="542F73CA"/>
    <w:rsid w:val="5430786D"/>
    <w:rsid w:val="54C811C0"/>
    <w:rsid w:val="54C85664"/>
    <w:rsid w:val="55511253"/>
    <w:rsid w:val="556A442D"/>
    <w:rsid w:val="556B22FC"/>
    <w:rsid w:val="55DA564E"/>
    <w:rsid w:val="5604127D"/>
    <w:rsid w:val="56166703"/>
    <w:rsid w:val="564F65B2"/>
    <w:rsid w:val="56510474"/>
    <w:rsid w:val="56861525"/>
    <w:rsid w:val="56A93273"/>
    <w:rsid w:val="56BD550C"/>
    <w:rsid w:val="56E04EE6"/>
    <w:rsid w:val="56E07045"/>
    <w:rsid w:val="56FF28AF"/>
    <w:rsid w:val="57540E7D"/>
    <w:rsid w:val="577B4878"/>
    <w:rsid w:val="57926973"/>
    <w:rsid w:val="57D850B1"/>
    <w:rsid w:val="580B61E2"/>
    <w:rsid w:val="58175352"/>
    <w:rsid w:val="581F2200"/>
    <w:rsid w:val="583059FA"/>
    <w:rsid w:val="584A0929"/>
    <w:rsid w:val="58A81A34"/>
    <w:rsid w:val="58CD2491"/>
    <w:rsid w:val="591B41B2"/>
    <w:rsid w:val="59254A26"/>
    <w:rsid w:val="59326325"/>
    <w:rsid w:val="595C505B"/>
    <w:rsid w:val="595E55C3"/>
    <w:rsid w:val="596E7E20"/>
    <w:rsid w:val="5999137D"/>
    <w:rsid w:val="5A60780B"/>
    <w:rsid w:val="5A9467BF"/>
    <w:rsid w:val="5AB34579"/>
    <w:rsid w:val="5AB67D0C"/>
    <w:rsid w:val="5AFC6609"/>
    <w:rsid w:val="5B113480"/>
    <w:rsid w:val="5BD456CE"/>
    <w:rsid w:val="5C0D1F49"/>
    <w:rsid w:val="5C553C81"/>
    <w:rsid w:val="5CBB0CE2"/>
    <w:rsid w:val="5CC17177"/>
    <w:rsid w:val="5CF306BC"/>
    <w:rsid w:val="5D221689"/>
    <w:rsid w:val="5D3F3D64"/>
    <w:rsid w:val="5D833043"/>
    <w:rsid w:val="5DD92690"/>
    <w:rsid w:val="5DDB1CFD"/>
    <w:rsid w:val="5E7E6D93"/>
    <w:rsid w:val="5ED44800"/>
    <w:rsid w:val="5F233717"/>
    <w:rsid w:val="5F350BDE"/>
    <w:rsid w:val="5F61632C"/>
    <w:rsid w:val="5F8D65FE"/>
    <w:rsid w:val="5FA17648"/>
    <w:rsid w:val="5FE705CB"/>
    <w:rsid w:val="5FEC48FC"/>
    <w:rsid w:val="5FF874E2"/>
    <w:rsid w:val="60326087"/>
    <w:rsid w:val="603D5080"/>
    <w:rsid w:val="605E6E7C"/>
    <w:rsid w:val="60BE3B6C"/>
    <w:rsid w:val="60D0261B"/>
    <w:rsid w:val="60E16920"/>
    <w:rsid w:val="618E3791"/>
    <w:rsid w:val="61947DCA"/>
    <w:rsid w:val="61A46A97"/>
    <w:rsid w:val="61D1382F"/>
    <w:rsid w:val="61F114A2"/>
    <w:rsid w:val="62512BB4"/>
    <w:rsid w:val="625D7D1A"/>
    <w:rsid w:val="629673D7"/>
    <w:rsid w:val="62DD7D21"/>
    <w:rsid w:val="63716EC6"/>
    <w:rsid w:val="637D586B"/>
    <w:rsid w:val="63A5560B"/>
    <w:rsid w:val="63E9091F"/>
    <w:rsid w:val="6417181C"/>
    <w:rsid w:val="64322AF9"/>
    <w:rsid w:val="64BC66CD"/>
    <w:rsid w:val="64D6010D"/>
    <w:rsid w:val="64D82665"/>
    <w:rsid w:val="64E47C96"/>
    <w:rsid w:val="651E5741"/>
    <w:rsid w:val="658A4877"/>
    <w:rsid w:val="65A00902"/>
    <w:rsid w:val="65AC6EDD"/>
    <w:rsid w:val="65AE016F"/>
    <w:rsid w:val="65D97752"/>
    <w:rsid w:val="66085536"/>
    <w:rsid w:val="66105BF7"/>
    <w:rsid w:val="66150023"/>
    <w:rsid w:val="6628010D"/>
    <w:rsid w:val="669B4528"/>
    <w:rsid w:val="66CC12D7"/>
    <w:rsid w:val="66E86EAD"/>
    <w:rsid w:val="67134CEF"/>
    <w:rsid w:val="671F1ABD"/>
    <w:rsid w:val="672E57FA"/>
    <w:rsid w:val="67521A59"/>
    <w:rsid w:val="67C304AB"/>
    <w:rsid w:val="680622D3"/>
    <w:rsid w:val="68294213"/>
    <w:rsid w:val="683F0658"/>
    <w:rsid w:val="687A681D"/>
    <w:rsid w:val="689C6793"/>
    <w:rsid w:val="68DB0208"/>
    <w:rsid w:val="68FB170C"/>
    <w:rsid w:val="691B3D98"/>
    <w:rsid w:val="693748F0"/>
    <w:rsid w:val="695157D0"/>
    <w:rsid w:val="69846A0E"/>
    <w:rsid w:val="69AD798C"/>
    <w:rsid w:val="69D005C0"/>
    <w:rsid w:val="69D80B96"/>
    <w:rsid w:val="6A5F5CCB"/>
    <w:rsid w:val="6B0811B2"/>
    <w:rsid w:val="6B68175F"/>
    <w:rsid w:val="6B877B0E"/>
    <w:rsid w:val="6BFD799F"/>
    <w:rsid w:val="6C4A2E5A"/>
    <w:rsid w:val="6C8138D0"/>
    <w:rsid w:val="6C841A18"/>
    <w:rsid w:val="6CEF0725"/>
    <w:rsid w:val="6D0B4828"/>
    <w:rsid w:val="6D4B2604"/>
    <w:rsid w:val="6D8030E4"/>
    <w:rsid w:val="6E0C0F5A"/>
    <w:rsid w:val="6E0E35C4"/>
    <w:rsid w:val="6E0F7A08"/>
    <w:rsid w:val="6E3947F5"/>
    <w:rsid w:val="6E697118"/>
    <w:rsid w:val="6E9C74ED"/>
    <w:rsid w:val="6EB93B02"/>
    <w:rsid w:val="6EBC36EB"/>
    <w:rsid w:val="6EF72976"/>
    <w:rsid w:val="6F795A80"/>
    <w:rsid w:val="6F7C1D2E"/>
    <w:rsid w:val="6F8E0407"/>
    <w:rsid w:val="6FDD069F"/>
    <w:rsid w:val="702B4D16"/>
    <w:rsid w:val="705931BC"/>
    <w:rsid w:val="706C3CA1"/>
    <w:rsid w:val="70AA6621"/>
    <w:rsid w:val="7111480F"/>
    <w:rsid w:val="71261F49"/>
    <w:rsid w:val="712E6956"/>
    <w:rsid w:val="71473612"/>
    <w:rsid w:val="71504F32"/>
    <w:rsid w:val="7152309F"/>
    <w:rsid w:val="718F7F65"/>
    <w:rsid w:val="724539F8"/>
    <w:rsid w:val="727B234E"/>
    <w:rsid w:val="72D068C7"/>
    <w:rsid w:val="72E42ED8"/>
    <w:rsid w:val="735F4CB9"/>
    <w:rsid w:val="73674C62"/>
    <w:rsid w:val="73845865"/>
    <w:rsid w:val="739B6D9E"/>
    <w:rsid w:val="73BC1D76"/>
    <w:rsid w:val="73FB6630"/>
    <w:rsid w:val="748D790E"/>
    <w:rsid w:val="749820CC"/>
    <w:rsid w:val="74CE04EC"/>
    <w:rsid w:val="74E76DCD"/>
    <w:rsid w:val="74EB6AD9"/>
    <w:rsid w:val="751D7C0A"/>
    <w:rsid w:val="75722D56"/>
    <w:rsid w:val="75DB5477"/>
    <w:rsid w:val="75FC6AC3"/>
    <w:rsid w:val="7616619B"/>
    <w:rsid w:val="76660D7C"/>
    <w:rsid w:val="766C5968"/>
    <w:rsid w:val="767427F9"/>
    <w:rsid w:val="76BE0C8F"/>
    <w:rsid w:val="76CD53B2"/>
    <w:rsid w:val="770719AC"/>
    <w:rsid w:val="771B4819"/>
    <w:rsid w:val="776526CC"/>
    <w:rsid w:val="77A262E1"/>
    <w:rsid w:val="77B13C33"/>
    <w:rsid w:val="77ED6F44"/>
    <w:rsid w:val="77F45548"/>
    <w:rsid w:val="784E7CA6"/>
    <w:rsid w:val="7856695F"/>
    <w:rsid w:val="78574801"/>
    <w:rsid w:val="7873527F"/>
    <w:rsid w:val="79002D6F"/>
    <w:rsid w:val="790A6425"/>
    <w:rsid w:val="790E2D96"/>
    <w:rsid w:val="79116D2A"/>
    <w:rsid w:val="791B54B2"/>
    <w:rsid w:val="7940316B"/>
    <w:rsid w:val="794B3A23"/>
    <w:rsid w:val="795A0A34"/>
    <w:rsid w:val="797339C3"/>
    <w:rsid w:val="79960FDD"/>
    <w:rsid w:val="79D57D57"/>
    <w:rsid w:val="79F00650"/>
    <w:rsid w:val="7A4600FF"/>
    <w:rsid w:val="7A6242BF"/>
    <w:rsid w:val="7A794513"/>
    <w:rsid w:val="7AE952D2"/>
    <w:rsid w:val="7B95154C"/>
    <w:rsid w:val="7C1F52BA"/>
    <w:rsid w:val="7C5E5DE2"/>
    <w:rsid w:val="7C976D69"/>
    <w:rsid w:val="7CD752DA"/>
    <w:rsid w:val="7CDE40AB"/>
    <w:rsid w:val="7CF057E2"/>
    <w:rsid w:val="7D1548B5"/>
    <w:rsid w:val="7D7E410B"/>
    <w:rsid w:val="7DE06CDB"/>
    <w:rsid w:val="7DF84014"/>
    <w:rsid w:val="7E207949"/>
    <w:rsid w:val="7E5C0A47"/>
    <w:rsid w:val="7E670C75"/>
    <w:rsid w:val="7E977CD1"/>
    <w:rsid w:val="7EA63A70"/>
    <w:rsid w:val="7EE24272"/>
    <w:rsid w:val="7EEA6053"/>
    <w:rsid w:val="7F01514B"/>
    <w:rsid w:val="7F487C04"/>
    <w:rsid w:val="7F4D0390"/>
    <w:rsid w:val="7FA42DAB"/>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5367</Words>
  <Characters>5991</Characters>
  <Lines>0</Lines>
  <Paragraphs>0</Paragraphs>
  <TotalTime>0</TotalTime>
  <ScaleCrop>false</ScaleCrop>
  <LinksUpToDate>false</LinksUpToDate>
  <CharactersWithSpaces>6018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2024-08-27T16:07:39Z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58D83961BA5D41499379CE5C03F34E16_13</vt:lpwstr>
  </property>
</Properties>
</file>