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阿勒泰地区国土资源执法监察支队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spacing w:line="540" w:lineRule="exact"/>
        <w:ind w:firstLine="640"/>
        <w:rPr>
          <w:rFonts w:hint="eastAsia" w:ascii="仿宋_GB2312" w:hAnsi="仿宋_GB2312" w:eastAsia="仿宋_GB2312" w:cs="仿宋_GB2312"/>
          <w:b w:val="0"/>
          <w:color w:val="auto"/>
          <w:kern w:val="0"/>
          <w:sz w:val="32"/>
          <w:szCs w:val="32"/>
          <w:shd w:val="clear" w:color="auto" w:fill="auto"/>
          <w:lang w:val="en-US" w:eastAsia="zh-CN"/>
        </w:rPr>
      </w:pPr>
      <w:bookmarkStart w:id="4" w:name="_Toc31238"/>
      <w:bookmarkStart w:id="5" w:name="_Toc2151"/>
      <w:r>
        <w:rPr>
          <w:rFonts w:hint="eastAsia" w:ascii="仿宋_GB2312" w:hAnsi="仿宋_GB2312" w:eastAsia="仿宋_GB2312" w:cs="仿宋_GB2312"/>
          <w:b w:val="0"/>
          <w:color w:val="auto"/>
          <w:kern w:val="0"/>
          <w:sz w:val="32"/>
          <w:szCs w:val="32"/>
          <w:lang w:val="en-US" w:eastAsia="zh-CN"/>
        </w:rPr>
        <w:t>阿勒泰地区国土资源执法监察支队，</w:t>
      </w:r>
      <w:r>
        <w:rPr>
          <w:rFonts w:hint="eastAsia" w:ascii="仿宋_GB2312" w:hAnsi="仿宋_GB2312" w:eastAsia="仿宋_GB2312" w:cs="仿宋_GB2312"/>
          <w:color w:val="auto"/>
          <w:kern w:val="0"/>
          <w:sz w:val="32"/>
          <w:szCs w:val="32"/>
        </w:rPr>
        <w:t>为副处级垂直管理单位，履行</w:t>
      </w:r>
      <w:r>
        <w:rPr>
          <w:rFonts w:hint="eastAsia" w:ascii="仿宋_GB2312" w:hAnsi="仿宋_GB2312" w:eastAsia="仿宋_GB2312" w:cs="仿宋_GB2312"/>
          <w:color w:val="auto"/>
          <w:kern w:val="0"/>
          <w:sz w:val="32"/>
          <w:szCs w:val="32"/>
          <w:lang w:eastAsia="zh-CN"/>
        </w:rPr>
        <w:t>阿勒泰地区</w:t>
      </w:r>
      <w:r>
        <w:rPr>
          <w:rFonts w:hint="eastAsia" w:ascii="仿宋_GB2312" w:hAnsi="仿宋_GB2312" w:eastAsia="仿宋_GB2312" w:cs="仿宋_GB2312"/>
          <w:color w:val="auto"/>
          <w:kern w:val="0"/>
          <w:sz w:val="32"/>
          <w:szCs w:val="32"/>
        </w:rPr>
        <w:t>国土资源执法监察职能，是参照国家公务员法管理的事业单位。</w:t>
      </w:r>
      <w:r>
        <w:rPr>
          <w:rFonts w:hint="eastAsia" w:ascii="仿宋_GB2312" w:hAnsi="仿宋_GB2312" w:eastAsia="仿宋_GB2312" w:cs="仿宋_GB2312"/>
          <w:b w:val="0"/>
          <w:color w:val="auto"/>
          <w:kern w:val="0"/>
          <w:sz w:val="32"/>
          <w:szCs w:val="32"/>
          <w:shd w:val="clear" w:color="auto" w:fill="auto"/>
          <w:lang w:val="en-US" w:eastAsia="zh-CN"/>
        </w:rPr>
        <w:fldChar w:fldCharType="begin">
          <w:fldData xml:space="preserve">QQBBADkARQA3ADIAOABFADUAMgAxADYANAAxAEUANABCADYANwBEAEQAQwAwAEIARABDADAANwA0
AEIARQAyAA==
</w:fldData>
        </w:fldChar>
      </w:r>
      <w:r>
        <w:rPr>
          <w:rFonts w:hint="eastAsia" w:ascii="仿宋_GB2312" w:hAnsi="仿宋_GB2312" w:eastAsia="仿宋_GB2312" w:cs="仿宋_GB2312"/>
          <w:b w:val="0"/>
          <w:color w:val="auto"/>
          <w:kern w:val="0"/>
          <w:sz w:val="32"/>
          <w:szCs w:val="32"/>
          <w:shd w:val="clear" w:color="auto" w:fill="auto"/>
          <w:lang w:val="en-US" w:eastAsia="zh-CN"/>
        </w:rPr>
        <w:instrText xml:space="preserve">Addin 项目单位基本情况</w:instrText>
      </w:r>
      <w:r>
        <w:rPr>
          <w:rFonts w:hint="eastAsia" w:ascii="仿宋_GB2312" w:hAnsi="仿宋_GB2312" w:eastAsia="仿宋_GB2312" w:cs="仿宋_GB2312"/>
          <w:b w:val="0"/>
          <w:color w:val="auto"/>
          <w:kern w:val="0"/>
          <w:sz w:val="32"/>
          <w:szCs w:val="32"/>
          <w:shd w:val="clear" w:color="auto" w:fill="auto"/>
          <w:lang w:val="en-US" w:eastAsia="zh-CN"/>
        </w:rPr>
        <w:fldChar w:fldCharType="separate"/>
      </w:r>
    </w:p>
    <w:p>
      <w:pPr>
        <w:spacing w:line="540" w:lineRule="exact"/>
        <w:ind w:firstLine="640"/>
        <w:rPr>
          <w:rFonts w:hint="eastAsia" w:ascii="仿宋_GB2312" w:hAnsi="仿宋_GB2312" w:eastAsia="仿宋_GB2312" w:cs="仿宋_GB2312"/>
          <w:b w:val="0"/>
          <w:color w:val="auto"/>
          <w:kern w:val="0"/>
          <w:sz w:val="32"/>
          <w:szCs w:val="32"/>
          <w:shd w:val="clear" w:color="auto" w:fill="auto"/>
          <w:lang w:val="en-US" w:eastAsia="zh-CN"/>
        </w:rPr>
      </w:pPr>
      <w:r>
        <w:rPr>
          <w:rFonts w:hint="eastAsia" w:ascii="仿宋_GB2312" w:hAnsi="仿宋_GB2312" w:eastAsia="仿宋_GB2312" w:cs="仿宋_GB2312"/>
          <w:b w:val="0"/>
          <w:color w:val="auto"/>
          <w:kern w:val="0"/>
          <w:sz w:val="32"/>
          <w:szCs w:val="32"/>
          <w:shd w:val="clear" w:color="auto" w:fill="auto"/>
          <w:lang w:val="en-US" w:eastAsia="zh-CN"/>
        </w:rPr>
        <w:fldChar w:fldCharType="end"/>
      </w:r>
      <w:r>
        <w:rPr>
          <w:rFonts w:hint="eastAsia" w:ascii="仿宋_GB2312" w:hAnsi="仿宋_GB2312" w:eastAsia="仿宋_GB2312" w:cs="仿宋_GB2312"/>
          <w:b w:val="0"/>
          <w:color w:val="auto"/>
          <w:kern w:val="0"/>
          <w:sz w:val="32"/>
          <w:szCs w:val="32"/>
          <w:shd w:val="clear" w:color="auto" w:fill="auto"/>
          <w:lang w:val="en-US" w:eastAsia="zh-CN"/>
        </w:rPr>
        <w:t>1、宣传和贯彻执行国家、自治区有关土地、矿产资源的法律、法规、规章和政策。</w:t>
      </w:r>
    </w:p>
    <w:p>
      <w:pPr>
        <w:spacing w:line="540" w:lineRule="exact"/>
        <w:ind w:firstLine="640"/>
        <w:rPr>
          <w:rFonts w:hint="eastAsia" w:ascii="仿宋_GB2312" w:hAnsi="仿宋_GB2312" w:eastAsia="仿宋_GB2312" w:cs="仿宋_GB2312"/>
          <w:b w:val="0"/>
          <w:color w:val="auto"/>
          <w:kern w:val="0"/>
          <w:sz w:val="32"/>
          <w:szCs w:val="32"/>
          <w:shd w:val="clear" w:color="auto" w:fill="auto"/>
          <w:lang w:val="en-US" w:eastAsia="zh-CN"/>
        </w:rPr>
      </w:pPr>
      <w:r>
        <w:rPr>
          <w:rFonts w:hint="eastAsia" w:ascii="仿宋_GB2312" w:hAnsi="仿宋_GB2312" w:eastAsia="仿宋_GB2312" w:cs="仿宋_GB2312"/>
          <w:b w:val="0"/>
          <w:color w:val="auto"/>
          <w:kern w:val="0"/>
          <w:sz w:val="32"/>
          <w:szCs w:val="32"/>
          <w:shd w:val="clear" w:color="auto" w:fill="auto"/>
          <w:lang w:val="en-US" w:eastAsia="zh-CN"/>
        </w:rPr>
        <w:t>2、组织和实施对阿勒泰地区执行土地、矿产资源法律、法规、规章情况的巡查，及时发现和制止土地、矿产资源违法行为。</w:t>
      </w:r>
    </w:p>
    <w:p>
      <w:pPr>
        <w:spacing w:line="540" w:lineRule="exact"/>
        <w:ind w:firstLine="640"/>
        <w:rPr>
          <w:rFonts w:hint="eastAsia" w:ascii="仿宋_GB2312" w:hAnsi="仿宋_GB2312" w:eastAsia="仿宋_GB2312" w:cs="仿宋_GB2312"/>
          <w:b w:val="0"/>
          <w:color w:val="auto"/>
          <w:kern w:val="0"/>
          <w:sz w:val="32"/>
          <w:szCs w:val="32"/>
          <w:shd w:val="clear" w:color="auto" w:fill="auto"/>
          <w:lang w:val="en-US" w:eastAsia="zh-CN"/>
        </w:rPr>
      </w:pPr>
      <w:r>
        <w:rPr>
          <w:rFonts w:hint="eastAsia" w:ascii="仿宋_GB2312" w:hAnsi="仿宋_GB2312" w:eastAsia="仿宋_GB2312" w:cs="仿宋_GB2312"/>
          <w:b w:val="0"/>
          <w:color w:val="auto"/>
          <w:kern w:val="0"/>
          <w:sz w:val="32"/>
          <w:szCs w:val="32"/>
          <w:shd w:val="clear" w:color="auto" w:fill="auto"/>
          <w:lang w:val="en-US" w:eastAsia="zh-CN"/>
        </w:rPr>
        <w:t>3、依法组织和实施阿勒泰地区重大土地、矿产资源违法案件的调查、取证、现场勘验工作，并进行查处。</w:t>
      </w:r>
    </w:p>
    <w:p>
      <w:pPr>
        <w:spacing w:line="540" w:lineRule="exact"/>
        <w:ind w:firstLine="640"/>
        <w:rPr>
          <w:rFonts w:hint="eastAsia" w:ascii="仿宋_GB2312" w:hAnsi="仿宋_GB2312" w:eastAsia="仿宋_GB2312" w:cs="仿宋_GB2312"/>
          <w:b w:val="0"/>
          <w:color w:val="auto"/>
          <w:kern w:val="0"/>
          <w:sz w:val="32"/>
          <w:szCs w:val="32"/>
          <w:shd w:val="clear" w:color="auto" w:fill="auto"/>
          <w:lang w:val="en-US" w:eastAsia="zh-CN"/>
        </w:rPr>
      </w:pPr>
      <w:r>
        <w:rPr>
          <w:rFonts w:hint="eastAsia" w:ascii="仿宋_GB2312" w:hAnsi="仿宋_GB2312" w:eastAsia="仿宋_GB2312" w:cs="仿宋_GB2312"/>
          <w:b w:val="0"/>
          <w:color w:val="auto"/>
          <w:kern w:val="0"/>
          <w:sz w:val="32"/>
          <w:szCs w:val="32"/>
          <w:shd w:val="clear" w:color="auto" w:fill="auto"/>
          <w:lang w:val="en-US" w:eastAsia="zh-CN"/>
        </w:rPr>
        <w:t>4、负责阿勒泰地区重大土地、矿产资源违法案件查处决定的督办。</w:t>
      </w:r>
    </w:p>
    <w:p>
      <w:pPr>
        <w:spacing w:line="540" w:lineRule="exact"/>
        <w:ind w:firstLine="640"/>
        <w:rPr>
          <w:rFonts w:hint="eastAsia" w:ascii="仿宋_GB2312" w:hAnsi="仿宋_GB2312" w:eastAsia="仿宋_GB2312" w:cs="仿宋_GB2312"/>
          <w:b w:val="0"/>
          <w:color w:val="auto"/>
          <w:kern w:val="0"/>
          <w:sz w:val="32"/>
          <w:szCs w:val="32"/>
          <w:shd w:val="clear" w:color="auto" w:fill="auto"/>
          <w:lang w:val="en-US" w:eastAsia="zh-CN"/>
        </w:rPr>
      </w:pPr>
      <w:r>
        <w:rPr>
          <w:rFonts w:hint="eastAsia" w:ascii="仿宋_GB2312" w:hAnsi="仿宋_GB2312" w:eastAsia="仿宋_GB2312" w:cs="仿宋_GB2312"/>
          <w:b w:val="0"/>
          <w:color w:val="auto"/>
          <w:kern w:val="0"/>
          <w:sz w:val="32"/>
          <w:szCs w:val="32"/>
          <w:shd w:val="clear" w:color="auto" w:fill="auto"/>
          <w:lang w:val="en-US" w:eastAsia="zh-CN"/>
        </w:rPr>
        <w:t>5、领导</w:t>
      </w:r>
      <w:r>
        <w:rPr>
          <w:rFonts w:hint="eastAsia" w:ascii="仿宋_GB2312" w:hAnsi="仿宋_GB2312" w:eastAsia="仿宋_GB2312" w:cs="仿宋_GB2312"/>
          <w:color w:val="auto"/>
          <w:kern w:val="0"/>
          <w:sz w:val="32"/>
          <w:szCs w:val="32"/>
        </w:rPr>
        <w:t>辖区内各县、市国土资源执法监察大队</w:t>
      </w:r>
      <w:r>
        <w:rPr>
          <w:rFonts w:hint="eastAsia" w:ascii="仿宋_GB2312" w:hAnsi="仿宋_GB2312" w:eastAsia="仿宋_GB2312" w:cs="仿宋_GB2312"/>
          <w:b w:val="0"/>
          <w:color w:val="auto"/>
          <w:kern w:val="0"/>
          <w:sz w:val="32"/>
          <w:szCs w:val="32"/>
          <w:shd w:val="clear" w:color="auto" w:fill="auto"/>
          <w:lang w:val="en-US" w:eastAsia="zh-CN"/>
        </w:rPr>
        <w:t>，负责全地区国土资源执法监察队伍建设，统一管理全地区国土资源执法监察机构的机构编制、人员、经费和内部审计。</w:t>
      </w:r>
    </w:p>
    <w:p>
      <w:pPr>
        <w:spacing w:line="540" w:lineRule="exact"/>
        <w:ind w:firstLine="640"/>
        <w:rPr>
          <w:rFonts w:hint="eastAsia" w:ascii="仿宋_GB2312" w:hAnsi="仿宋_GB2312" w:eastAsia="仿宋_GB2312" w:cs="仿宋_GB2312"/>
          <w:b w:val="0"/>
          <w:color w:val="auto"/>
          <w:kern w:val="0"/>
          <w:sz w:val="32"/>
          <w:szCs w:val="32"/>
          <w:lang w:val="en-US" w:eastAsia="zh-CN"/>
        </w:rPr>
      </w:pPr>
      <w:r>
        <w:rPr>
          <w:rFonts w:hint="eastAsia" w:ascii="仿宋_GB2312" w:hAnsi="仿宋_GB2312" w:eastAsia="仿宋_GB2312" w:cs="仿宋_GB2312"/>
          <w:b w:val="0"/>
          <w:color w:val="auto"/>
          <w:kern w:val="0"/>
          <w:sz w:val="32"/>
          <w:szCs w:val="32"/>
          <w:shd w:val="clear" w:color="auto" w:fill="auto"/>
          <w:lang w:val="en-US" w:eastAsia="zh-CN"/>
        </w:rPr>
        <w:t>6、</w:t>
      </w:r>
      <w:r>
        <w:rPr>
          <w:rFonts w:hint="eastAsia" w:ascii="仿宋_GB2312" w:hAnsi="仿宋_GB2312" w:eastAsia="仿宋_GB2312" w:cs="仿宋_GB2312"/>
          <w:color w:val="auto"/>
          <w:kern w:val="0"/>
          <w:sz w:val="32"/>
          <w:szCs w:val="32"/>
        </w:rPr>
        <w:t>完成自治区国土资源执法监察总队和当地党委政府交办的其他工作。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阿勒泰地区国土资源执法监察支队</w:t>
      </w:r>
      <w:r>
        <w:rPr>
          <w:rFonts w:hint="eastAsia" w:ascii="仿宋_GB2312" w:hAnsi="仿宋_GB2312" w:eastAsia="仿宋_GB2312" w:cs="仿宋_GB2312"/>
          <w:color w:val="auto"/>
          <w:sz w:val="32"/>
          <w:szCs w:val="32"/>
          <w:highlight w:val="none"/>
          <w:lang w:eastAsia="zh-CN"/>
        </w:rPr>
        <w:t>2023年度，</w:t>
      </w:r>
      <w:r>
        <w:rPr>
          <w:rFonts w:hint="eastAsia" w:ascii="仿宋_GB2312" w:hAnsi="仿宋_GB2312" w:eastAsia="仿宋_GB2312" w:cs="仿宋_GB2312"/>
          <w:color w:val="auto"/>
          <w:sz w:val="32"/>
          <w:szCs w:val="32"/>
          <w:highlight w:val="none"/>
        </w:rPr>
        <w:t>实有人数</w:t>
      </w:r>
      <w:r>
        <w:rPr>
          <w:rFonts w:hint="eastAsia" w:ascii="仿宋_GB2312" w:hAnsi="仿宋_GB2312" w:eastAsia="仿宋_GB2312" w:cs="仿宋_GB2312"/>
          <w:color w:val="auto"/>
          <w:sz w:val="32"/>
          <w:szCs w:val="32"/>
          <w:highlight w:val="none"/>
          <w:lang w:val="zh-CN" w:eastAsia="zh-CN"/>
        </w:rPr>
        <w:t>11</w:t>
      </w:r>
      <w:r>
        <w:rPr>
          <w:rFonts w:hint="eastAsia" w:ascii="仿宋_GB2312" w:hAnsi="仿宋_GB2312" w:eastAsia="仿宋_GB2312" w:cs="仿宋_GB2312"/>
          <w:color w:val="auto"/>
          <w:sz w:val="32"/>
          <w:szCs w:val="32"/>
          <w:highlight w:val="none"/>
        </w:rPr>
        <w:t>人，其中：在职人员</w:t>
      </w:r>
      <w:r>
        <w:rPr>
          <w:rFonts w:hint="eastAsia" w:ascii="仿宋_GB2312" w:hAnsi="仿宋_GB2312" w:eastAsia="仿宋_GB2312" w:cs="仿宋_GB2312"/>
          <w:color w:val="auto"/>
          <w:sz w:val="32"/>
          <w:szCs w:val="32"/>
          <w:highlight w:val="none"/>
          <w:lang w:val="zh-CN" w:eastAsia="zh-CN"/>
        </w:rPr>
        <w:t>8</w:t>
      </w:r>
      <w:r>
        <w:rPr>
          <w:rFonts w:hint="eastAsia" w:ascii="仿宋_GB2312" w:hAnsi="仿宋_GB2312" w:eastAsia="仿宋_GB2312" w:cs="仿宋_GB2312"/>
          <w:color w:val="auto"/>
          <w:sz w:val="32"/>
          <w:szCs w:val="32"/>
          <w:highlight w:val="none"/>
        </w:rPr>
        <w:t>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离休人员</w:t>
      </w:r>
      <w:r>
        <w:rPr>
          <w:rFonts w:hint="eastAsia" w:ascii="仿宋_GB2312" w:hAnsi="仿宋_GB2312" w:eastAsia="仿宋_GB2312" w:cs="仿宋_GB2312"/>
          <w:color w:val="auto"/>
          <w:sz w:val="32"/>
          <w:szCs w:val="32"/>
          <w:highlight w:val="none"/>
          <w:lang w:val="zh-CN" w:eastAsia="zh-CN"/>
        </w:rPr>
        <w:t>0</w:t>
      </w:r>
      <w:r>
        <w:rPr>
          <w:rFonts w:hint="eastAsia" w:ascii="仿宋_GB2312" w:hAnsi="仿宋_GB2312" w:eastAsia="仿宋_GB2312" w:cs="仿宋_GB2312"/>
          <w:color w:val="auto"/>
          <w:sz w:val="32"/>
          <w:szCs w:val="32"/>
          <w:highlight w:val="none"/>
        </w:rPr>
        <w:t>人，退休人员</w:t>
      </w:r>
      <w:r>
        <w:rPr>
          <w:rFonts w:hint="eastAsia" w:ascii="仿宋_GB2312" w:hAnsi="仿宋_GB2312" w:eastAsia="仿宋_GB2312" w:cs="仿宋_GB2312"/>
          <w:color w:val="auto"/>
          <w:sz w:val="32"/>
          <w:szCs w:val="32"/>
          <w:highlight w:val="none"/>
          <w:lang w:val="zh-CN" w:eastAsia="zh-CN"/>
        </w:rPr>
        <w:t>3</w:t>
      </w:r>
      <w:r>
        <w:rPr>
          <w:rFonts w:hint="eastAsia" w:ascii="仿宋_GB2312" w:hAnsi="仿宋_GB2312" w:eastAsia="仿宋_GB2312" w:cs="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bCs/>
          <w:kern w:val="0"/>
          <w:sz w:val="32"/>
          <w:szCs w:val="32"/>
        </w:rPr>
        <w:t>单位无下属预算单位，下设</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bCs/>
          <w:kern w:val="0"/>
          <w:sz w:val="32"/>
          <w:szCs w:val="32"/>
        </w:rPr>
        <w:t>个</w:t>
      </w:r>
      <w:r>
        <w:rPr>
          <w:rFonts w:hint="eastAsia" w:ascii="仿宋_GB2312" w:hAnsi="仿宋_GB2312" w:eastAsia="仿宋_GB2312" w:cs="仿宋_GB2312"/>
          <w:bCs/>
          <w:kern w:val="0"/>
          <w:sz w:val="32"/>
          <w:szCs w:val="32"/>
          <w:lang w:eastAsia="zh-CN"/>
        </w:rPr>
        <w:t>科</w:t>
      </w:r>
      <w:r>
        <w:rPr>
          <w:rFonts w:hint="eastAsia" w:ascii="仿宋_GB2312" w:hAnsi="仿宋_GB2312" w:eastAsia="仿宋_GB2312" w:cs="仿宋_GB2312"/>
          <w:bCs/>
          <w:kern w:val="0"/>
          <w:sz w:val="32"/>
          <w:szCs w:val="32"/>
        </w:rPr>
        <w:t>室，分别是：</w:t>
      </w:r>
      <w:r>
        <w:rPr>
          <w:rFonts w:hint="eastAsia" w:ascii="仿宋_GB2312" w:hAnsi="仿宋_GB2312" w:eastAsia="仿宋_GB2312" w:cs="仿宋_GB2312"/>
          <w:kern w:val="0"/>
          <w:sz w:val="32"/>
          <w:szCs w:val="32"/>
          <w:lang w:eastAsia="zh-CN"/>
        </w:rPr>
        <w:t>办公室、土地执法科、矿产执法科</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仿宋_GB2312" w:eastAsia="仿宋_GB2312"/>
          <w:color w:val="auto"/>
          <w:spacing w:val="0"/>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color w:val="auto"/>
          <w:spacing w:val="0"/>
          <w:sz w:val="32"/>
          <w:szCs w:val="32"/>
          <w:highlight w:val="none"/>
          <w:lang w:eastAsia="zh-CN"/>
        </w:rPr>
        <w:t>2023年度</w:t>
      </w:r>
      <w:r>
        <w:rPr>
          <w:rFonts w:hint="eastAsia" w:ascii="仿宋_GB2312" w:hAnsi="仿宋_GB2312" w:eastAsia="仿宋_GB2312" w:cs="仿宋_GB2312"/>
          <w:color w:val="auto"/>
          <w:spacing w:val="0"/>
          <w:sz w:val="32"/>
          <w:szCs w:val="32"/>
          <w:highlight w:val="none"/>
          <w:lang w:val="en-US" w:eastAsia="zh-CN"/>
        </w:rPr>
        <w:t>收入总计</w:t>
      </w:r>
      <w:r>
        <w:rPr>
          <w:rFonts w:hint="eastAsia" w:ascii="仿宋_GB2312" w:hAnsi="仿宋_GB2312" w:eastAsia="仿宋_GB2312" w:cs="仿宋_GB2312"/>
          <w:color w:val="auto"/>
          <w:spacing w:val="0"/>
          <w:sz w:val="32"/>
          <w:szCs w:val="32"/>
          <w:highlight w:val="none"/>
          <w:lang w:eastAsia="zh-CN"/>
        </w:rPr>
        <w:t>442.52万元，</w:t>
      </w:r>
      <w:r>
        <w:rPr>
          <w:rFonts w:hint="eastAsia" w:ascii="仿宋_GB2312" w:hAnsi="仿宋_GB2312" w:eastAsia="仿宋_GB2312" w:cs="仿宋_GB2312"/>
          <w:color w:val="auto"/>
          <w:spacing w:val="0"/>
          <w:sz w:val="32"/>
          <w:szCs w:val="32"/>
          <w:highlight w:val="none"/>
          <w:lang w:val="en-US" w:eastAsia="zh-CN"/>
        </w:rPr>
        <w:t>其中：本年收入合计</w:t>
      </w:r>
      <w:r>
        <w:rPr>
          <w:rFonts w:hint="eastAsia" w:ascii="仿宋_GB2312" w:hAnsi="仿宋_GB2312" w:eastAsia="仿宋_GB2312" w:cs="仿宋_GB2312"/>
          <w:color w:val="auto"/>
          <w:spacing w:val="0"/>
          <w:sz w:val="32"/>
          <w:szCs w:val="32"/>
          <w:highlight w:val="none"/>
          <w:lang w:eastAsia="zh-CN"/>
        </w:rPr>
        <w:t>279.87万元，使用非财政拨款结余0.00万元，年初结转和结余162.65万元。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color w:val="auto"/>
          <w:spacing w:val="0"/>
          <w:sz w:val="32"/>
          <w:szCs w:val="32"/>
          <w:highlight w:val="none"/>
          <w:lang w:val="en-US" w:eastAsia="zh-CN"/>
        </w:rPr>
        <w:t>2023</w:t>
      </w:r>
      <w:r>
        <w:rPr>
          <w:rFonts w:hint="eastAsia" w:ascii="仿宋_GB2312" w:hAnsi="仿宋_GB2312" w:eastAsia="仿宋_GB2312" w:cs="仿宋_GB2312"/>
          <w:color w:val="auto"/>
          <w:spacing w:val="0"/>
          <w:sz w:val="32"/>
          <w:szCs w:val="32"/>
          <w:highlight w:val="none"/>
          <w:lang w:eastAsia="zh-CN"/>
        </w:rPr>
        <w:t>年</w:t>
      </w:r>
      <w:r>
        <w:rPr>
          <w:rFonts w:hint="eastAsia" w:ascii="仿宋_GB2312" w:hAnsi="仿宋_GB2312" w:eastAsia="仿宋_GB2312" w:cs="仿宋_GB2312"/>
          <w:color w:val="auto"/>
          <w:spacing w:val="0"/>
          <w:sz w:val="32"/>
          <w:szCs w:val="32"/>
          <w:highlight w:val="none"/>
          <w:lang w:val="en-US" w:eastAsia="zh-CN"/>
        </w:rPr>
        <w:t>度</w:t>
      </w:r>
      <w:r>
        <w:rPr>
          <w:rFonts w:hint="eastAsia" w:ascii="仿宋_GB2312" w:hAnsi="仿宋_GB2312" w:eastAsia="仿宋_GB2312" w:cs="仿宋_GB2312"/>
          <w:color w:val="auto"/>
          <w:spacing w:val="0"/>
          <w:sz w:val="32"/>
          <w:szCs w:val="32"/>
          <w:highlight w:val="none"/>
          <w:lang w:eastAsia="zh-CN"/>
        </w:rPr>
        <w:t>支出</w:t>
      </w:r>
      <w:r>
        <w:rPr>
          <w:rFonts w:hint="eastAsia" w:ascii="仿宋_GB2312" w:hAnsi="仿宋_GB2312" w:eastAsia="仿宋_GB2312" w:cs="仿宋_GB2312"/>
          <w:color w:val="auto"/>
          <w:spacing w:val="0"/>
          <w:sz w:val="32"/>
          <w:szCs w:val="32"/>
          <w:highlight w:val="none"/>
          <w:lang w:val="en-US" w:eastAsia="zh-CN"/>
        </w:rPr>
        <w:t>总计</w:t>
      </w:r>
      <w:r>
        <w:rPr>
          <w:rFonts w:hint="eastAsia" w:ascii="仿宋_GB2312" w:hAnsi="仿宋_GB2312" w:eastAsia="仿宋_GB2312" w:cs="仿宋_GB2312"/>
          <w:color w:val="auto"/>
          <w:spacing w:val="0"/>
          <w:sz w:val="32"/>
          <w:szCs w:val="32"/>
          <w:highlight w:val="none"/>
          <w:lang w:eastAsia="zh-CN"/>
        </w:rPr>
        <w:t>442.52万元，</w:t>
      </w:r>
      <w:r>
        <w:rPr>
          <w:rFonts w:hint="eastAsia" w:ascii="仿宋_GB2312" w:hAnsi="仿宋_GB2312" w:eastAsia="仿宋_GB2312" w:cs="仿宋_GB2312"/>
          <w:color w:val="auto"/>
          <w:spacing w:val="0"/>
          <w:sz w:val="32"/>
          <w:szCs w:val="32"/>
          <w:highlight w:val="none"/>
          <w:lang w:val="en-US" w:eastAsia="zh-CN"/>
        </w:rPr>
        <w:t>其中：本年支出合计</w:t>
      </w:r>
      <w:r>
        <w:rPr>
          <w:rFonts w:hint="eastAsia" w:ascii="仿宋_GB2312" w:hAnsi="仿宋_GB2312" w:eastAsia="仿宋_GB2312" w:cs="仿宋_GB2312"/>
          <w:color w:val="auto"/>
          <w:spacing w:val="0"/>
          <w:sz w:val="32"/>
          <w:szCs w:val="32"/>
          <w:highlight w:val="none"/>
          <w:lang w:eastAsia="zh-CN"/>
        </w:rPr>
        <w:t>354.34万元，</w:t>
      </w:r>
      <w:r>
        <w:rPr>
          <w:rFonts w:hint="eastAsia" w:ascii="仿宋_GB2312" w:hAnsi="仿宋_GB2312" w:eastAsia="仿宋_GB2312" w:cs="仿宋_GB2312"/>
          <w:color w:val="auto"/>
          <w:spacing w:val="0"/>
          <w:sz w:val="32"/>
          <w:szCs w:val="32"/>
          <w:highlight w:val="none"/>
          <w:lang w:val="en-US" w:eastAsia="zh-CN"/>
        </w:rPr>
        <w:t>结余分配</w:t>
      </w:r>
      <w:r>
        <w:rPr>
          <w:rFonts w:hint="eastAsia" w:ascii="仿宋_GB2312" w:hAnsi="仿宋_GB2312" w:eastAsia="仿宋_GB2312" w:cs="仿宋_GB2312"/>
          <w:color w:val="auto"/>
          <w:spacing w:val="0"/>
          <w:sz w:val="32"/>
          <w:szCs w:val="32"/>
          <w:highlight w:val="none"/>
          <w:lang w:eastAsia="zh-CN"/>
        </w:rPr>
        <w:t>0.00万元，年末结转和结余88.18万元。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仿宋_GB2312" w:hAnsi="仿宋_GB2312" w:eastAsia="仿宋_GB2312" w:cs="仿宋_GB2312"/>
          <w:color w:val="auto"/>
          <w:spacing w:val="0"/>
          <w:sz w:val="32"/>
          <w:szCs w:val="32"/>
          <w:highlight w:val="none"/>
          <w:lang w:val="en-US" w:eastAsia="zh-CN"/>
        </w:rPr>
        <w:t>收入支出总体与上年相比</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zh-CN" w:eastAsia="zh-CN"/>
        </w:rPr>
        <w:t>减少20.12万元</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下降4.35%</w:t>
      </w:r>
      <w:r>
        <w:rPr>
          <w:rFonts w:hint="eastAsia" w:ascii="仿宋_GB2312" w:hAnsi="仿宋_GB2312" w:eastAsia="仿宋_GB2312" w:cs="仿宋_GB2312"/>
          <w:color w:val="auto"/>
          <w:spacing w:val="0"/>
          <w:sz w:val="32"/>
          <w:szCs w:val="32"/>
          <w:highlight w:val="none"/>
          <w:lang w:eastAsia="zh-CN"/>
        </w:rPr>
        <w:t>，主要原因是：一是</w:t>
      </w:r>
      <w:r>
        <w:rPr>
          <w:rFonts w:hint="eastAsia" w:ascii="仿宋_GB2312" w:hAnsi="仿宋_GB2312" w:eastAsia="仿宋_GB2312" w:cs="仿宋_GB2312"/>
          <w:color w:val="auto"/>
          <w:kern w:val="2"/>
          <w:sz w:val="32"/>
          <w:szCs w:val="32"/>
          <w:highlight w:val="none"/>
          <w:lang w:val="zh-CN" w:eastAsia="zh-CN" w:bidi="ar-SA"/>
        </w:rPr>
        <w:t>根据新财社〔</w:t>
      </w:r>
      <w:r>
        <w:rPr>
          <w:rFonts w:hint="eastAsia" w:ascii="仿宋_GB2312" w:hAnsi="仿宋_GB2312" w:eastAsia="仿宋_GB2312" w:cs="仿宋_GB2312"/>
          <w:color w:val="auto"/>
          <w:kern w:val="2"/>
          <w:sz w:val="32"/>
          <w:szCs w:val="32"/>
          <w:highlight w:val="none"/>
          <w:lang w:val="en-US" w:eastAsia="zh-CN" w:bidi="ar-SA"/>
        </w:rPr>
        <w:t>2023</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168号文件，当地医保局对退休人员的医疗补助缴费退回缴纳单位，并由缴费单位退回至自治区财政；二是2023年度结余较2022年度结余</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减少</w:t>
      </w:r>
      <w:r>
        <w:rPr>
          <w:rFonts w:hint="eastAsia" w:ascii="仿宋_GB2312" w:hAnsi="仿宋_GB2312" w:eastAsia="仿宋_GB2312" w:cs="仿宋_GB2312"/>
          <w:color w:val="auto"/>
          <w:kern w:val="2"/>
          <w:sz w:val="32"/>
          <w:szCs w:val="32"/>
          <w:highlight w:val="none"/>
          <w:lang w:val="zh-CN" w:eastAsia="zh-CN" w:bidi="ar-SA"/>
        </w:rPr>
        <w:t>；以上导致本年度收入支出较上年总体支出减少。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279.87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279.50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99.87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0.37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hAnsi="仿宋_GB2312" w:eastAsia="仿宋_GB2312" w:cs="仿宋_GB2312"/>
          <w:color w:val="auto"/>
          <w:sz w:val="32"/>
          <w:szCs w:val="32"/>
          <w:highlight w:val="none"/>
          <w:lang w:val="zh-CN" w:eastAsia="zh-CN"/>
        </w:rPr>
        <w:t>本年支出354.34万元，其中：基本支出275.34万元，占77.70%；项目支出79.00万元，占22.30%；上缴上级支出0.00万元，占0.00%；经营支出0.00万元，占0.00%；对附属单位补助支出0.00万元，占0.00%。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279.50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279.50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279.50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279.50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增加24.76万元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增长9.72%，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一是本年度执法办案业务工作量增加，项目经费增加。二是</w:t>
      </w:r>
      <w:r>
        <w:rPr>
          <w:rFonts w:hint="eastAsia" w:ascii="仿宋_GB2312" w:eastAsia="仿宋_GB2312"/>
          <w:color w:val="auto"/>
          <w:sz w:val="32"/>
          <w:szCs w:val="32"/>
          <w:highlight w:val="none"/>
          <w:lang w:val="zh-CN" w:eastAsia="zh-CN"/>
        </w:rPr>
        <w:t>根据考核结果追加并发放年终绩效考核奖金；</w:t>
      </w:r>
      <w:r>
        <w:rPr>
          <w:rFonts w:hint="eastAsia" w:ascii="仿宋_GB2312" w:eastAsia="仿宋_GB2312"/>
          <w:color w:val="auto"/>
          <w:spacing w:val="0"/>
          <w:sz w:val="32"/>
          <w:szCs w:val="32"/>
          <w:highlight w:val="none"/>
          <w:lang w:val="en-US" w:eastAsia="zh-CN"/>
        </w:rPr>
        <w:t>三是在职人员工资晋升、社会保障缴费基数调增。</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263.30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279.50</w:t>
      </w:r>
      <w:r>
        <w:rPr>
          <w:rFonts w:hint="eastAsia" w:ascii="仿宋_GB2312" w:eastAsia="仿宋_GB2312"/>
          <w:color w:val="auto"/>
          <w:spacing w:val="0"/>
          <w:sz w:val="32"/>
          <w:szCs w:val="32"/>
          <w:highlight w:val="none"/>
          <w:lang w:eastAsia="zh-CN"/>
        </w:rPr>
        <w:t>万元，预决算差异率6.15%，主要原因是：</w:t>
      </w:r>
      <w:r>
        <w:rPr>
          <w:rFonts w:hint="eastAsia" w:ascii="仿宋_GB2312" w:eastAsia="仿宋_GB2312"/>
          <w:color w:val="auto"/>
          <w:sz w:val="32"/>
          <w:szCs w:val="32"/>
          <w:highlight w:val="none"/>
          <w:lang w:val="zh-CN" w:eastAsia="zh-CN"/>
        </w:rPr>
        <w:t>根据考核结果追加并发放年终绩效考核奖金。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2023年度一般公共预算财政拨款支出279.50万元，占本年支出合计的</w:t>
      </w:r>
      <w:r>
        <w:rPr>
          <w:rFonts w:hint="eastAsia" w:ascii="仿宋_GB2312" w:eastAsia="仿宋_GB2312"/>
          <w:color w:val="auto"/>
          <w:spacing w:val="0"/>
          <w:sz w:val="32"/>
          <w:szCs w:val="32"/>
          <w:highlight w:val="none"/>
          <w:lang w:val="zh-CN" w:eastAsia="zh-CN"/>
        </w:rPr>
        <w:t>78.88%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增加24.76万元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增长9.72%，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一是本年度执法办案业务工作量增加，项目经费增加。二是</w:t>
      </w:r>
      <w:r>
        <w:rPr>
          <w:rFonts w:hint="eastAsia" w:ascii="仿宋_GB2312" w:eastAsia="仿宋_GB2312"/>
          <w:color w:val="auto"/>
          <w:sz w:val="32"/>
          <w:szCs w:val="32"/>
          <w:highlight w:val="none"/>
          <w:lang w:val="zh-CN" w:eastAsia="zh-CN"/>
        </w:rPr>
        <w:t>根据考核结果追加并发放年终绩效考核奖金；</w:t>
      </w:r>
      <w:r>
        <w:rPr>
          <w:rFonts w:hint="eastAsia" w:ascii="仿宋_GB2312" w:eastAsia="仿宋_GB2312"/>
          <w:color w:val="auto"/>
          <w:spacing w:val="0"/>
          <w:sz w:val="32"/>
          <w:szCs w:val="32"/>
          <w:highlight w:val="none"/>
          <w:lang w:val="en-US" w:eastAsia="zh-CN"/>
        </w:rPr>
        <w:t>三是在职人员工资晋升、社会保障缴费基数调增。</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263.30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279.50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6.15%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zh-CN" w:eastAsia="zh-CN"/>
        </w:rPr>
        <w:t>根据考核结果追加并发放年终绩效考核奖金。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23.05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16.25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227.25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12.94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 xml:space="preserve"> </w:t>
      </w: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1.卫生健康支出（类）行政事业单位医疗（款）行政单位医疗（项）:支出决算数为8.70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11.15%，主要原因是：</w:t>
      </w:r>
      <w:r>
        <w:rPr>
          <w:rFonts w:hint="eastAsia" w:eastAsia="仿宋_GB2312" w:cs="Times New Roman"/>
          <w:color w:val="auto"/>
          <w:kern w:val="2"/>
          <w:sz w:val="32"/>
          <w:szCs w:val="32"/>
          <w:highlight w:val="none"/>
          <w:lang w:val="en-US" w:eastAsia="zh-CN" w:bidi="ar-SA"/>
        </w:rPr>
        <w:t>本年度人员工资较上年增加，导致年初</w:t>
      </w:r>
      <w:r>
        <w:rPr>
          <w:rFonts w:hint="eastAsia" w:eastAsia="仿宋_GB2312" w:cs="Times New Roman"/>
          <w:color w:val="auto"/>
          <w:kern w:val="2"/>
          <w:sz w:val="32"/>
          <w:szCs w:val="32"/>
          <w:highlight w:val="none"/>
          <w:lang w:val="zh-CN" w:eastAsia="zh-CN" w:bidi="ar-SA"/>
        </w:rPr>
        <w:t>基本医疗缴费基数调增，支出增加。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2.卫生健康支出（类）行政事业单位医疗（款）公务员医疗补助（项）:支出决算数为7.55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24.09%，主要原因是：</w:t>
      </w:r>
      <w:r>
        <w:rPr>
          <w:rFonts w:hint="eastAsia" w:eastAsia="仿宋_GB2312" w:cs="Times New Roman"/>
          <w:color w:val="auto"/>
          <w:kern w:val="2"/>
          <w:sz w:val="32"/>
          <w:szCs w:val="32"/>
          <w:highlight w:val="none"/>
          <w:lang w:val="en-US" w:eastAsia="zh-CN" w:bidi="ar-SA"/>
        </w:rPr>
        <w:t>本年度人员工资较上年增加，导致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zh-CN" w:eastAsia="zh-CN" w:bidi="ar-SA"/>
        </w:rPr>
        <w:t>缴费基数调增，支出增加。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3.自然资源海洋气象等支出（类）自然资源事务（款）其他自然资源事务支出（项）:支出决算数为79.00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23.44%，主要原因是：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color w:val="auto"/>
          <w:spacing w:val="0"/>
          <w:sz w:val="32"/>
          <w:szCs w:val="32"/>
          <w:highlight w:val="none"/>
          <w:lang w:val="en-US" w:eastAsia="zh-CN"/>
        </w:rPr>
        <w:t>执法办案业务工作量增加，项目经费增加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4.自然资源海洋气象等支出（类）自然资源事务（款）行政运行（项）:支出决算数为148.25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4.15%，主要原因是：</w:t>
      </w:r>
      <w:r>
        <w:rPr>
          <w:rFonts w:hint="eastAsia" w:eastAsia="仿宋_GB2312" w:cs="Times New Roman"/>
          <w:color w:val="auto"/>
          <w:kern w:val="2"/>
          <w:sz w:val="32"/>
          <w:szCs w:val="32"/>
          <w:highlight w:val="none"/>
          <w:lang w:val="en-US" w:eastAsia="zh-CN" w:bidi="ar-SA"/>
        </w:rPr>
        <w:t>人员工资正常调增导致工资福利支出和公用经费支出增加</w:t>
      </w:r>
      <w:r>
        <w:rPr>
          <w:rFonts w:hint="eastAsia" w:ascii="仿宋_GB2312" w:eastAsia="仿宋_GB2312"/>
          <w:color w:val="auto"/>
          <w:spacing w:val="0"/>
          <w:sz w:val="32"/>
          <w:szCs w:val="32"/>
          <w:highlight w:val="none"/>
          <w:lang w:val="en-US" w:eastAsia="zh-CN"/>
        </w:rPr>
        <w:t>，导致基本支出比上年增加。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5.住房保障支出（类）住房改革支出（款）住房公积金（项）:支出决算数为12.94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19.67%，主要原因是：</w:t>
      </w:r>
      <w:r>
        <w:rPr>
          <w:rFonts w:hint="eastAsia" w:eastAsia="仿宋_GB2312" w:cs="Times New Roman"/>
          <w:color w:val="auto"/>
          <w:kern w:val="2"/>
          <w:sz w:val="32"/>
          <w:szCs w:val="32"/>
          <w:highlight w:val="none"/>
          <w:lang w:val="en-US" w:eastAsia="zh-CN" w:bidi="ar-SA"/>
        </w:rPr>
        <w:t>本年度人员工资较上年增加，导致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基数调增，支出增加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37.38%，主要原因是：</w:t>
      </w:r>
      <w:r>
        <w:rPr>
          <w:rFonts w:hint="eastAsia" w:eastAsia="仿宋_GB2312" w:cs="Times New Roman"/>
          <w:color w:val="auto"/>
          <w:kern w:val="2"/>
          <w:sz w:val="32"/>
          <w:szCs w:val="32"/>
          <w:highlight w:val="none"/>
          <w:lang w:val="zh-CN" w:eastAsia="zh-CN" w:bidi="ar-SA"/>
        </w:rPr>
        <w:t>根据新财社</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w:t>
      </w:r>
      <w:r>
        <w:rPr>
          <w:rFonts w:hint="eastAsia" w:ascii="宋体" w:hAnsi="宋体" w:eastAsia="宋体" w:cs="宋体"/>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168号文件，当地医保局对退休人员的医疗补助缴费退回缴纳单位，并由缴费单位退回至自治区财政，导致2023年度</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en-US" w:eastAsia="zh-CN" w:bidi="ar-SA"/>
        </w:rPr>
        <w:t>比上年减少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7.社会保障和就业支出（类）行政事业单位养老支出（款）机关事业单位基本养老保险缴费支出（项）:支出决算数为17.26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19.67%，主要原因是：</w:t>
      </w:r>
      <w:r>
        <w:rPr>
          <w:rFonts w:hint="eastAsia" w:eastAsia="仿宋_GB2312" w:cs="Times New Roman"/>
          <w:color w:val="auto"/>
          <w:kern w:val="2"/>
          <w:sz w:val="32"/>
          <w:szCs w:val="32"/>
          <w:highlight w:val="none"/>
          <w:lang w:val="en-US" w:eastAsia="zh-CN" w:bidi="ar-SA"/>
        </w:rPr>
        <w:t>本年度人员工资较上年增加，导致</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w:t>
      </w:r>
      <w:r>
        <w:rPr>
          <w:rFonts w:hint="eastAsia" w:eastAsia="仿宋_GB2312" w:cs="Times New Roman"/>
          <w:color w:val="auto"/>
          <w:kern w:val="2"/>
          <w:sz w:val="32"/>
          <w:szCs w:val="32"/>
          <w:highlight w:val="none"/>
          <w:lang w:val="en-US" w:eastAsia="zh-CN" w:bidi="ar-SA"/>
        </w:rPr>
        <w:t>基数调增，支出增加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200.50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184.77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15.72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增加0.00万元，增长0.00%，主要原因是：我单位无财政拨款“ 三公” 经费支出。其中：因公出国（境）费支出0.00万元，占0.00%，比上年增加0.00万元，增长0.00%，主要原因是：</w:t>
      </w:r>
      <w:r>
        <w:rPr>
          <w:rFonts w:hint="eastAsia" w:ascii="仿宋_GB2312" w:eastAsia="仿宋_GB2312"/>
          <w:sz w:val="32"/>
          <w:szCs w:val="32"/>
          <w:highlight w:val="none"/>
        </w:rPr>
        <w:t>我单位无因公出国（境</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hint="eastAsia"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hint="eastAsia" w:ascii="仿宋_GB2312" w:eastAsia="仿宋_GB2312"/>
          <w:sz w:val="32"/>
          <w:szCs w:val="32"/>
          <w:highlight w:val="none"/>
        </w:rPr>
        <w:t>我单位本年度无公务接待费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我单位无公务用车购置及运行维护费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en-US" w:eastAsia="zh-CN"/>
        </w:rPr>
        <w:t>不属于公务用车，使用其他交通费，支付燃油及维修费</w:t>
      </w:r>
      <w:r>
        <w:rPr>
          <w:rFonts w:hint="eastAsia" w:ascii="仿宋_GB2312" w:eastAsia="仿宋_GB2312"/>
          <w:color w:val="auto"/>
          <w:sz w:val="32"/>
          <w:szCs w:val="32"/>
          <w:highlight w:val="none"/>
          <w:lang w:val="zh-CN" w:eastAsia="zh-CN"/>
        </w:rPr>
        <w:t>。</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阿勒泰地区国土资源执法监察支队（行政单位和参照公务员法管理事业单位）机关运行经费支出15.72万元，比上年增加1.76万元，增长12.61%,主要原因是：</w:t>
      </w:r>
      <w:r>
        <w:rPr>
          <w:rFonts w:hint="eastAsia" w:eastAsia="仿宋_GB2312" w:cs="Times New Roman"/>
          <w:color w:val="auto"/>
          <w:sz w:val="32"/>
          <w:szCs w:val="32"/>
          <w:highlight w:val="none"/>
          <w:lang w:val="en-US" w:eastAsia="zh-CN"/>
        </w:rPr>
        <w:t>2023年度人员工资晋升，</w:t>
      </w:r>
      <w:r>
        <w:rPr>
          <w:rFonts w:hint="eastAsia" w:ascii="Times New Roman" w:hAnsi="Times New Roman" w:eastAsia="仿宋_GB2312" w:cs="Times New Roman"/>
          <w:color w:val="auto"/>
          <w:sz w:val="32"/>
          <w:szCs w:val="32"/>
          <w:highlight w:val="none"/>
          <w:lang w:val="en-US" w:eastAsia="zh-CN"/>
        </w:rPr>
        <w:t>机关运行经费</w:t>
      </w:r>
      <w:r>
        <w:rPr>
          <w:rFonts w:hint="eastAsia" w:eastAsia="仿宋_GB2312" w:cs="Times New Roman"/>
          <w:color w:val="auto"/>
          <w:sz w:val="32"/>
          <w:szCs w:val="32"/>
          <w:highlight w:val="none"/>
          <w:lang w:val="en-US" w:eastAsia="zh-CN"/>
        </w:rPr>
        <w:t>年初预算取数增加，导致支出决算数比上年增加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344.53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屋375.23平方米，价值138.29万元。车辆3辆，价值102.88万元，其中：副部（省）级及以上领导用车0辆、主要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用车0辆、机要通信用车0辆、应急保障用车0辆、执法执勤用车3辆、特种专业技术用车0辆、离退休干部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仿宋_GB2312" w:eastAsia="仿宋_GB2312"/>
          <w:sz w:val="32"/>
          <w:szCs w:val="32"/>
        </w:rPr>
        <w:t>全年预算数0.00万元，全年执行数0.00万元。预算绩效管理取得的成效：我单位本年无绩效评价项目。发现的问题及原因：我单位本年无绩效评价项目。下一步改进措施：我单位本年无绩效评价项目。</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535E7A"/>
    <w:rsid w:val="00B70D59"/>
    <w:rsid w:val="00C92C7F"/>
    <w:rsid w:val="00F52A8D"/>
    <w:rsid w:val="019404F8"/>
    <w:rsid w:val="02BD3108"/>
    <w:rsid w:val="02F73D26"/>
    <w:rsid w:val="02FC0453"/>
    <w:rsid w:val="034D4FEF"/>
    <w:rsid w:val="035D1785"/>
    <w:rsid w:val="0361265C"/>
    <w:rsid w:val="038E6A76"/>
    <w:rsid w:val="039F47CE"/>
    <w:rsid w:val="03E05CE8"/>
    <w:rsid w:val="03F973EE"/>
    <w:rsid w:val="040C465A"/>
    <w:rsid w:val="041B2920"/>
    <w:rsid w:val="043E5B56"/>
    <w:rsid w:val="04932CE9"/>
    <w:rsid w:val="04C04386"/>
    <w:rsid w:val="04E611D7"/>
    <w:rsid w:val="04FA68C4"/>
    <w:rsid w:val="053F5AE6"/>
    <w:rsid w:val="057C0B0F"/>
    <w:rsid w:val="058645FB"/>
    <w:rsid w:val="05EF4B48"/>
    <w:rsid w:val="05F76ECA"/>
    <w:rsid w:val="06792773"/>
    <w:rsid w:val="06FA2BAB"/>
    <w:rsid w:val="07093795"/>
    <w:rsid w:val="074841EC"/>
    <w:rsid w:val="07804730"/>
    <w:rsid w:val="079052BE"/>
    <w:rsid w:val="08145C21"/>
    <w:rsid w:val="08422688"/>
    <w:rsid w:val="085854ED"/>
    <w:rsid w:val="0869448C"/>
    <w:rsid w:val="0879188F"/>
    <w:rsid w:val="08A0354D"/>
    <w:rsid w:val="08BA14DD"/>
    <w:rsid w:val="08CD4C49"/>
    <w:rsid w:val="08F519D3"/>
    <w:rsid w:val="08F719D2"/>
    <w:rsid w:val="09114954"/>
    <w:rsid w:val="09173EE8"/>
    <w:rsid w:val="095A5B83"/>
    <w:rsid w:val="096466E3"/>
    <w:rsid w:val="0968304D"/>
    <w:rsid w:val="09AF3D17"/>
    <w:rsid w:val="0A7809B7"/>
    <w:rsid w:val="0A7B4867"/>
    <w:rsid w:val="0A840954"/>
    <w:rsid w:val="0A9928ED"/>
    <w:rsid w:val="0AC410A0"/>
    <w:rsid w:val="0AE51BB1"/>
    <w:rsid w:val="0AEC6CC4"/>
    <w:rsid w:val="0B422D73"/>
    <w:rsid w:val="0B5F5A44"/>
    <w:rsid w:val="0B61769D"/>
    <w:rsid w:val="0B6E1DBA"/>
    <w:rsid w:val="0B8C3ECC"/>
    <w:rsid w:val="0B9C639D"/>
    <w:rsid w:val="0BB052B2"/>
    <w:rsid w:val="0BD33FFC"/>
    <w:rsid w:val="0BE97AC1"/>
    <w:rsid w:val="0C1C4780"/>
    <w:rsid w:val="0C3613A3"/>
    <w:rsid w:val="0C5E519C"/>
    <w:rsid w:val="0C7227A7"/>
    <w:rsid w:val="0C9738D4"/>
    <w:rsid w:val="0CA52EE8"/>
    <w:rsid w:val="0CBD6988"/>
    <w:rsid w:val="0CD208AC"/>
    <w:rsid w:val="0D4234FE"/>
    <w:rsid w:val="0D4903E8"/>
    <w:rsid w:val="0D6613E9"/>
    <w:rsid w:val="0D7A4A46"/>
    <w:rsid w:val="0DE63E89"/>
    <w:rsid w:val="0DED6FC6"/>
    <w:rsid w:val="0E640559"/>
    <w:rsid w:val="0F1113DA"/>
    <w:rsid w:val="0F78534A"/>
    <w:rsid w:val="0F89358A"/>
    <w:rsid w:val="0F8C6D51"/>
    <w:rsid w:val="0FA91612"/>
    <w:rsid w:val="0FFC79F4"/>
    <w:rsid w:val="105B0B5E"/>
    <w:rsid w:val="10B257D9"/>
    <w:rsid w:val="11154497"/>
    <w:rsid w:val="111F0CD1"/>
    <w:rsid w:val="112E58D0"/>
    <w:rsid w:val="11731CAC"/>
    <w:rsid w:val="119500A0"/>
    <w:rsid w:val="11C0733B"/>
    <w:rsid w:val="11D50D17"/>
    <w:rsid w:val="120E0809"/>
    <w:rsid w:val="127F665A"/>
    <w:rsid w:val="12F7068C"/>
    <w:rsid w:val="13A46379"/>
    <w:rsid w:val="13B30CB1"/>
    <w:rsid w:val="14076D63"/>
    <w:rsid w:val="14207DC0"/>
    <w:rsid w:val="14951F61"/>
    <w:rsid w:val="14B932DA"/>
    <w:rsid w:val="150A66AF"/>
    <w:rsid w:val="15180675"/>
    <w:rsid w:val="152A6D51"/>
    <w:rsid w:val="154C1139"/>
    <w:rsid w:val="158C5B77"/>
    <w:rsid w:val="160D1149"/>
    <w:rsid w:val="163563C0"/>
    <w:rsid w:val="164315EF"/>
    <w:rsid w:val="16557DFE"/>
    <w:rsid w:val="167268FB"/>
    <w:rsid w:val="16D50C50"/>
    <w:rsid w:val="16E120E1"/>
    <w:rsid w:val="16E41182"/>
    <w:rsid w:val="16F97735"/>
    <w:rsid w:val="170E1A14"/>
    <w:rsid w:val="171C6A37"/>
    <w:rsid w:val="17385A05"/>
    <w:rsid w:val="173B3901"/>
    <w:rsid w:val="176747F9"/>
    <w:rsid w:val="17954A6E"/>
    <w:rsid w:val="180059E9"/>
    <w:rsid w:val="184510FD"/>
    <w:rsid w:val="18722EE9"/>
    <w:rsid w:val="18FC27B3"/>
    <w:rsid w:val="190648B0"/>
    <w:rsid w:val="19071D6C"/>
    <w:rsid w:val="192B2350"/>
    <w:rsid w:val="196A6842"/>
    <w:rsid w:val="19A52E4A"/>
    <w:rsid w:val="19D26CD4"/>
    <w:rsid w:val="19E60D19"/>
    <w:rsid w:val="19E92FD7"/>
    <w:rsid w:val="1A3E3450"/>
    <w:rsid w:val="1A7F5449"/>
    <w:rsid w:val="1AD807E5"/>
    <w:rsid w:val="1B2A7AAB"/>
    <w:rsid w:val="1B39345B"/>
    <w:rsid w:val="1BF105C9"/>
    <w:rsid w:val="1BFB2A1F"/>
    <w:rsid w:val="1C015D4A"/>
    <w:rsid w:val="1C290ED5"/>
    <w:rsid w:val="1C2A7637"/>
    <w:rsid w:val="1C317E4F"/>
    <w:rsid w:val="1C472464"/>
    <w:rsid w:val="1CB21A9A"/>
    <w:rsid w:val="1D0460DA"/>
    <w:rsid w:val="1D0E6F59"/>
    <w:rsid w:val="1D22799A"/>
    <w:rsid w:val="1D5C1A72"/>
    <w:rsid w:val="1D9D7C95"/>
    <w:rsid w:val="1DAF458D"/>
    <w:rsid w:val="1DCF0496"/>
    <w:rsid w:val="1E075E82"/>
    <w:rsid w:val="1E086ACE"/>
    <w:rsid w:val="1E62130A"/>
    <w:rsid w:val="1E8E20FF"/>
    <w:rsid w:val="1E97358B"/>
    <w:rsid w:val="1EAA4A5F"/>
    <w:rsid w:val="1EE869A7"/>
    <w:rsid w:val="1F42609C"/>
    <w:rsid w:val="1F8F22AB"/>
    <w:rsid w:val="1F9D7ED4"/>
    <w:rsid w:val="1FA15E62"/>
    <w:rsid w:val="1FED69B6"/>
    <w:rsid w:val="2064678E"/>
    <w:rsid w:val="207F634C"/>
    <w:rsid w:val="208A48AF"/>
    <w:rsid w:val="20DC1AB9"/>
    <w:rsid w:val="20DD6197"/>
    <w:rsid w:val="20E56222"/>
    <w:rsid w:val="21090163"/>
    <w:rsid w:val="212631E0"/>
    <w:rsid w:val="2152653D"/>
    <w:rsid w:val="217F6677"/>
    <w:rsid w:val="21A53757"/>
    <w:rsid w:val="21D06ED2"/>
    <w:rsid w:val="21DE339D"/>
    <w:rsid w:val="21F52495"/>
    <w:rsid w:val="221236C6"/>
    <w:rsid w:val="223F401B"/>
    <w:rsid w:val="224F429B"/>
    <w:rsid w:val="228764DB"/>
    <w:rsid w:val="22B40F9D"/>
    <w:rsid w:val="22BB406C"/>
    <w:rsid w:val="22D7662C"/>
    <w:rsid w:val="22EC5646"/>
    <w:rsid w:val="23326B7F"/>
    <w:rsid w:val="23390004"/>
    <w:rsid w:val="2380045B"/>
    <w:rsid w:val="23BC04D2"/>
    <w:rsid w:val="23CB7951"/>
    <w:rsid w:val="23EF1892"/>
    <w:rsid w:val="23FA0237"/>
    <w:rsid w:val="240F5A90"/>
    <w:rsid w:val="2483647E"/>
    <w:rsid w:val="24A32D55"/>
    <w:rsid w:val="24DB1E16"/>
    <w:rsid w:val="25276E09"/>
    <w:rsid w:val="25292727"/>
    <w:rsid w:val="252E5CA9"/>
    <w:rsid w:val="256F7692"/>
    <w:rsid w:val="258304B2"/>
    <w:rsid w:val="25B87FEB"/>
    <w:rsid w:val="25BA2154"/>
    <w:rsid w:val="25C8773F"/>
    <w:rsid w:val="264A7253"/>
    <w:rsid w:val="26BC17D3"/>
    <w:rsid w:val="26F0170C"/>
    <w:rsid w:val="27201D62"/>
    <w:rsid w:val="27286E73"/>
    <w:rsid w:val="27753077"/>
    <w:rsid w:val="27CF2642"/>
    <w:rsid w:val="27E777F5"/>
    <w:rsid w:val="27EA1D4C"/>
    <w:rsid w:val="27EA2E41"/>
    <w:rsid w:val="28080834"/>
    <w:rsid w:val="282459E2"/>
    <w:rsid w:val="283A7FE5"/>
    <w:rsid w:val="285F51FF"/>
    <w:rsid w:val="28DF2665"/>
    <w:rsid w:val="29072599"/>
    <w:rsid w:val="291029F3"/>
    <w:rsid w:val="29CB58F0"/>
    <w:rsid w:val="29FB0F87"/>
    <w:rsid w:val="2A053397"/>
    <w:rsid w:val="2A145E96"/>
    <w:rsid w:val="2A6E1037"/>
    <w:rsid w:val="2A726D79"/>
    <w:rsid w:val="2A926FDD"/>
    <w:rsid w:val="2AF5378F"/>
    <w:rsid w:val="2B51698E"/>
    <w:rsid w:val="2BB94DBF"/>
    <w:rsid w:val="2BF612E4"/>
    <w:rsid w:val="2C6F314E"/>
    <w:rsid w:val="2CC206BE"/>
    <w:rsid w:val="2CF27CFD"/>
    <w:rsid w:val="2D1136DF"/>
    <w:rsid w:val="2D20606D"/>
    <w:rsid w:val="2D5A70E9"/>
    <w:rsid w:val="2DB87198"/>
    <w:rsid w:val="2DB93C54"/>
    <w:rsid w:val="2DBD3B1D"/>
    <w:rsid w:val="2E3D144C"/>
    <w:rsid w:val="2E8664CC"/>
    <w:rsid w:val="2E891204"/>
    <w:rsid w:val="2F3F0A28"/>
    <w:rsid w:val="2F4A2072"/>
    <w:rsid w:val="2F816A38"/>
    <w:rsid w:val="2FBF7029"/>
    <w:rsid w:val="2FD0187F"/>
    <w:rsid w:val="2FD27414"/>
    <w:rsid w:val="2FFE4BB0"/>
    <w:rsid w:val="300E7B60"/>
    <w:rsid w:val="300F6E18"/>
    <w:rsid w:val="303625F7"/>
    <w:rsid w:val="3040220C"/>
    <w:rsid w:val="30862F5F"/>
    <w:rsid w:val="30F5293C"/>
    <w:rsid w:val="311E5564"/>
    <w:rsid w:val="314029C9"/>
    <w:rsid w:val="31496359"/>
    <w:rsid w:val="319D4FDA"/>
    <w:rsid w:val="31C63837"/>
    <w:rsid w:val="31C82E39"/>
    <w:rsid w:val="325F5E35"/>
    <w:rsid w:val="32601BAD"/>
    <w:rsid w:val="32747406"/>
    <w:rsid w:val="329F6389"/>
    <w:rsid w:val="3389023A"/>
    <w:rsid w:val="33CB74FA"/>
    <w:rsid w:val="33DE722D"/>
    <w:rsid w:val="343642F2"/>
    <w:rsid w:val="343F3010"/>
    <w:rsid w:val="343F73C0"/>
    <w:rsid w:val="345D0A00"/>
    <w:rsid w:val="34713BFD"/>
    <w:rsid w:val="34B4493F"/>
    <w:rsid w:val="34C13589"/>
    <w:rsid w:val="34C21E72"/>
    <w:rsid w:val="353369E3"/>
    <w:rsid w:val="35525765"/>
    <w:rsid w:val="35C661CB"/>
    <w:rsid w:val="35E00D72"/>
    <w:rsid w:val="36391E14"/>
    <w:rsid w:val="36965B9D"/>
    <w:rsid w:val="36C549FD"/>
    <w:rsid w:val="36D5289C"/>
    <w:rsid w:val="3701395E"/>
    <w:rsid w:val="37335AE2"/>
    <w:rsid w:val="37A755DD"/>
    <w:rsid w:val="37B07132"/>
    <w:rsid w:val="37BC7E4B"/>
    <w:rsid w:val="37E961A0"/>
    <w:rsid w:val="37F94FA0"/>
    <w:rsid w:val="38043122"/>
    <w:rsid w:val="380D3381"/>
    <w:rsid w:val="38115B1F"/>
    <w:rsid w:val="385E3AC3"/>
    <w:rsid w:val="387D6B9E"/>
    <w:rsid w:val="38B75FF0"/>
    <w:rsid w:val="38D45016"/>
    <w:rsid w:val="38D90432"/>
    <w:rsid w:val="38E30E42"/>
    <w:rsid w:val="3914510A"/>
    <w:rsid w:val="3926770B"/>
    <w:rsid w:val="398D3668"/>
    <w:rsid w:val="39A20CFD"/>
    <w:rsid w:val="39D55FF8"/>
    <w:rsid w:val="39DA0497"/>
    <w:rsid w:val="3A605EE5"/>
    <w:rsid w:val="3A893816"/>
    <w:rsid w:val="3A893B6D"/>
    <w:rsid w:val="3A9B19D4"/>
    <w:rsid w:val="3AD1763A"/>
    <w:rsid w:val="3B6716E3"/>
    <w:rsid w:val="3B6C6B2D"/>
    <w:rsid w:val="3BDD66BF"/>
    <w:rsid w:val="3C172AFD"/>
    <w:rsid w:val="3C242659"/>
    <w:rsid w:val="3C2854E9"/>
    <w:rsid w:val="3C5207B8"/>
    <w:rsid w:val="3C574020"/>
    <w:rsid w:val="3C582BCD"/>
    <w:rsid w:val="3C96719C"/>
    <w:rsid w:val="3CA72BE8"/>
    <w:rsid w:val="3CAB143F"/>
    <w:rsid w:val="3CF37F8C"/>
    <w:rsid w:val="3D125F3B"/>
    <w:rsid w:val="3D137554"/>
    <w:rsid w:val="3D5275AC"/>
    <w:rsid w:val="3D6562C9"/>
    <w:rsid w:val="3D712EC0"/>
    <w:rsid w:val="3DCC2473"/>
    <w:rsid w:val="3DEB0883"/>
    <w:rsid w:val="3E1675C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5745EF"/>
    <w:rsid w:val="406E36E7"/>
    <w:rsid w:val="40794A29"/>
    <w:rsid w:val="40834692"/>
    <w:rsid w:val="40980764"/>
    <w:rsid w:val="40D043A1"/>
    <w:rsid w:val="41431AD5"/>
    <w:rsid w:val="414B3C0F"/>
    <w:rsid w:val="417C1CE7"/>
    <w:rsid w:val="41900018"/>
    <w:rsid w:val="41944406"/>
    <w:rsid w:val="41CE128F"/>
    <w:rsid w:val="41DA6F12"/>
    <w:rsid w:val="42171FB1"/>
    <w:rsid w:val="427E2307"/>
    <w:rsid w:val="434E6957"/>
    <w:rsid w:val="43BA0E31"/>
    <w:rsid w:val="43C15147"/>
    <w:rsid w:val="43E14DD2"/>
    <w:rsid w:val="43F800E9"/>
    <w:rsid w:val="44337121"/>
    <w:rsid w:val="443A7E4B"/>
    <w:rsid w:val="447253F1"/>
    <w:rsid w:val="44957494"/>
    <w:rsid w:val="452F5B3A"/>
    <w:rsid w:val="454E7FD2"/>
    <w:rsid w:val="46005C7F"/>
    <w:rsid w:val="46061BDC"/>
    <w:rsid w:val="461404F8"/>
    <w:rsid w:val="46413018"/>
    <w:rsid w:val="464B7E04"/>
    <w:rsid w:val="468041AA"/>
    <w:rsid w:val="468123C6"/>
    <w:rsid w:val="46901EEE"/>
    <w:rsid w:val="469C74D2"/>
    <w:rsid w:val="46A240EA"/>
    <w:rsid w:val="4742292E"/>
    <w:rsid w:val="47445515"/>
    <w:rsid w:val="474B4782"/>
    <w:rsid w:val="47631BDC"/>
    <w:rsid w:val="47841A42"/>
    <w:rsid w:val="47B61E19"/>
    <w:rsid w:val="47D90D14"/>
    <w:rsid w:val="47E0311C"/>
    <w:rsid w:val="48387FB0"/>
    <w:rsid w:val="483A6114"/>
    <w:rsid w:val="48435459"/>
    <w:rsid w:val="488727DB"/>
    <w:rsid w:val="488C5052"/>
    <w:rsid w:val="48B82268"/>
    <w:rsid w:val="48C354B3"/>
    <w:rsid w:val="493D58B5"/>
    <w:rsid w:val="494A7A04"/>
    <w:rsid w:val="4972249A"/>
    <w:rsid w:val="497C3F5A"/>
    <w:rsid w:val="49B1530D"/>
    <w:rsid w:val="4A0A26D2"/>
    <w:rsid w:val="4A2019A5"/>
    <w:rsid w:val="4A241A0B"/>
    <w:rsid w:val="4A3E412A"/>
    <w:rsid w:val="4A7B2875"/>
    <w:rsid w:val="4A897A9B"/>
    <w:rsid w:val="4A934476"/>
    <w:rsid w:val="4AAA220A"/>
    <w:rsid w:val="4AE12E67"/>
    <w:rsid w:val="4B4C0111"/>
    <w:rsid w:val="4B75001F"/>
    <w:rsid w:val="4B8553A9"/>
    <w:rsid w:val="4BDB3730"/>
    <w:rsid w:val="4C200F7A"/>
    <w:rsid w:val="4CEE3180"/>
    <w:rsid w:val="4D0F4AF6"/>
    <w:rsid w:val="4DD86643"/>
    <w:rsid w:val="4DF94F37"/>
    <w:rsid w:val="4E0A1DD5"/>
    <w:rsid w:val="4E241889"/>
    <w:rsid w:val="4E3160E5"/>
    <w:rsid w:val="4E4D37AF"/>
    <w:rsid w:val="4E8C6496"/>
    <w:rsid w:val="4EFD18DE"/>
    <w:rsid w:val="4F05663A"/>
    <w:rsid w:val="4F144236"/>
    <w:rsid w:val="4F253B0A"/>
    <w:rsid w:val="4F4421E2"/>
    <w:rsid w:val="4F6463E1"/>
    <w:rsid w:val="4F663C87"/>
    <w:rsid w:val="4F7E29A8"/>
    <w:rsid w:val="4F9E1FFC"/>
    <w:rsid w:val="4FAE0361"/>
    <w:rsid w:val="50096079"/>
    <w:rsid w:val="50447CC2"/>
    <w:rsid w:val="50874A7C"/>
    <w:rsid w:val="50895EE7"/>
    <w:rsid w:val="50921B9D"/>
    <w:rsid w:val="50D01925"/>
    <w:rsid w:val="50D16158"/>
    <w:rsid w:val="50D343E1"/>
    <w:rsid w:val="50DB5F45"/>
    <w:rsid w:val="51025EB1"/>
    <w:rsid w:val="51141503"/>
    <w:rsid w:val="51217A74"/>
    <w:rsid w:val="518D0ED5"/>
    <w:rsid w:val="52370628"/>
    <w:rsid w:val="52484CBE"/>
    <w:rsid w:val="525C687F"/>
    <w:rsid w:val="52911BE2"/>
    <w:rsid w:val="52BD6977"/>
    <w:rsid w:val="52F647F7"/>
    <w:rsid w:val="52F92565"/>
    <w:rsid w:val="5325232B"/>
    <w:rsid w:val="539D3210"/>
    <w:rsid w:val="53D03877"/>
    <w:rsid w:val="53D63A7E"/>
    <w:rsid w:val="542F73CA"/>
    <w:rsid w:val="5430786D"/>
    <w:rsid w:val="54C3004D"/>
    <w:rsid w:val="54C811C0"/>
    <w:rsid w:val="553A1CDD"/>
    <w:rsid w:val="556A442D"/>
    <w:rsid w:val="55CA33E4"/>
    <w:rsid w:val="55DA564E"/>
    <w:rsid w:val="56026953"/>
    <w:rsid w:val="5604127D"/>
    <w:rsid w:val="560E52F8"/>
    <w:rsid w:val="561548D9"/>
    <w:rsid w:val="56166703"/>
    <w:rsid w:val="564B20A8"/>
    <w:rsid w:val="56510474"/>
    <w:rsid w:val="567D5FDA"/>
    <w:rsid w:val="56861525"/>
    <w:rsid w:val="56A93273"/>
    <w:rsid w:val="56BD550C"/>
    <w:rsid w:val="56C077B3"/>
    <w:rsid w:val="56D43EA0"/>
    <w:rsid w:val="56E07045"/>
    <w:rsid w:val="56FF28AF"/>
    <w:rsid w:val="570566FB"/>
    <w:rsid w:val="57540E7D"/>
    <w:rsid w:val="577B4878"/>
    <w:rsid w:val="578C552B"/>
    <w:rsid w:val="57926973"/>
    <w:rsid w:val="58175352"/>
    <w:rsid w:val="581F2200"/>
    <w:rsid w:val="583059FA"/>
    <w:rsid w:val="584A0929"/>
    <w:rsid w:val="58BA3515"/>
    <w:rsid w:val="58CD2491"/>
    <w:rsid w:val="58D36385"/>
    <w:rsid w:val="58DE293D"/>
    <w:rsid w:val="58E16CF4"/>
    <w:rsid w:val="591B41B2"/>
    <w:rsid w:val="59254A26"/>
    <w:rsid w:val="59326325"/>
    <w:rsid w:val="595C505B"/>
    <w:rsid w:val="595E55C3"/>
    <w:rsid w:val="596E7E20"/>
    <w:rsid w:val="59A05E15"/>
    <w:rsid w:val="59C31E69"/>
    <w:rsid w:val="5A011185"/>
    <w:rsid w:val="5A60780B"/>
    <w:rsid w:val="5A737E20"/>
    <w:rsid w:val="5A7B06D5"/>
    <w:rsid w:val="5A9D7934"/>
    <w:rsid w:val="5AB34579"/>
    <w:rsid w:val="5AFC6609"/>
    <w:rsid w:val="5B113480"/>
    <w:rsid w:val="5B57504B"/>
    <w:rsid w:val="5BD456CE"/>
    <w:rsid w:val="5C0C22DA"/>
    <w:rsid w:val="5C0D1F49"/>
    <w:rsid w:val="5CBB0CE2"/>
    <w:rsid w:val="5CC17177"/>
    <w:rsid w:val="5CF306BC"/>
    <w:rsid w:val="5D3F3D64"/>
    <w:rsid w:val="5D833043"/>
    <w:rsid w:val="5D983A68"/>
    <w:rsid w:val="5DD92690"/>
    <w:rsid w:val="5DDB1CFD"/>
    <w:rsid w:val="5E155777"/>
    <w:rsid w:val="5E7E6D93"/>
    <w:rsid w:val="5EB43EE4"/>
    <w:rsid w:val="5ED44800"/>
    <w:rsid w:val="5F2D2C93"/>
    <w:rsid w:val="5F350BDE"/>
    <w:rsid w:val="5F61632C"/>
    <w:rsid w:val="5FA17648"/>
    <w:rsid w:val="5FE705CB"/>
    <w:rsid w:val="600A6B30"/>
    <w:rsid w:val="603D5080"/>
    <w:rsid w:val="60874625"/>
    <w:rsid w:val="60D0261B"/>
    <w:rsid w:val="60D8007F"/>
    <w:rsid w:val="6162484F"/>
    <w:rsid w:val="618E3791"/>
    <w:rsid w:val="61947DCA"/>
    <w:rsid w:val="61A46A97"/>
    <w:rsid w:val="61D1382F"/>
    <w:rsid w:val="61F114A2"/>
    <w:rsid w:val="62197C87"/>
    <w:rsid w:val="62512BB4"/>
    <w:rsid w:val="625D7D1A"/>
    <w:rsid w:val="62DD7D21"/>
    <w:rsid w:val="633D721D"/>
    <w:rsid w:val="637D586B"/>
    <w:rsid w:val="63A5560B"/>
    <w:rsid w:val="63C817C4"/>
    <w:rsid w:val="63E9091F"/>
    <w:rsid w:val="64322AF9"/>
    <w:rsid w:val="64920E2E"/>
    <w:rsid w:val="64D6010D"/>
    <w:rsid w:val="64D82665"/>
    <w:rsid w:val="64DC3BDB"/>
    <w:rsid w:val="64E47C96"/>
    <w:rsid w:val="64FD6C64"/>
    <w:rsid w:val="651E5741"/>
    <w:rsid w:val="654D6C87"/>
    <w:rsid w:val="658A4877"/>
    <w:rsid w:val="65A00902"/>
    <w:rsid w:val="65A26721"/>
    <w:rsid w:val="65AC6EDD"/>
    <w:rsid w:val="65D97752"/>
    <w:rsid w:val="66085536"/>
    <w:rsid w:val="66105BF7"/>
    <w:rsid w:val="66150023"/>
    <w:rsid w:val="6628010D"/>
    <w:rsid w:val="663C6203"/>
    <w:rsid w:val="66713AB8"/>
    <w:rsid w:val="669B4528"/>
    <w:rsid w:val="66A46EDA"/>
    <w:rsid w:val="66CC12D7"/>
    <w:rsid w:val="66EB166F"/>
    <w:rsid w:val="670C14C7"/>
    <w:rsid w:val="67134CEF"/>
    <w:rsid w:val="671F1ABD"/>
    <w:rsid w:val="67330113"/>
    <w:rsid w:val="67521A59"/>
    <w:rsid w:val="67C304AB"/>
    <w:rsid w:val="67FA392E"/>
    <w:rsid w:val="680B7ED1"/>
    <w:rsid w:val="683F0658"/>
    <w:rsid w:val="689C6793"/>
    <w:rsid w:val="68DB0208"/>
    <w:rsid w:val="68FB170C"/>
    <w:rsid w:val="691B3D98"/>
    <w:rsid w:val="693748F0"/>
    <w:rsid w:val="694B2947"/>
    <w:rsid w:val="697F233D"/>
    <w:rsid w:val="69846A0E"/>
    <w:rsid w:val="69AD798C"/>
    <w:rsid w:val="69D005C0"/>
    <w:rsid w:val="69D80B96"/>
    <w:rsid w:val="69E93C5A"/>
    <w:rsid w:val="6AE508C6"/>
    <w:rsid w:val="6B68175F"/>
    <w:rsid w:val="6B6A5D01"/>
    <w:rsid w:val="6BFD799F"/>
    <w:rsid w:val="6C0737CC"/>
    <w:rsid w:val="6C4A2E5A"/>
    <w:rsid w:val="6C8138D0"/>
    <w:rsid w:val="6CEF0725"/>
    <w:rsid w:val="6D4B2604"/>
    <w:rsid w:val="6D4D4500"/>
    <w:rsid w:val="6D614C4F"/>
    <w:rsid w:val="6D8030E4"/>
    <w:rsid w:val="6DAA2D59"/>
    <w:rsid w:val="6DAC0B3C"/>
    <w:rsid w:val="6E0E35C4"/>
    <w:rsid w:val="6E0F7A08"/>
    <w:rsid w:val="6E270336"/>
    <w:rsid w:val="6E386F5E"/>
    <w:rsid w:val="6E3947F5"/>
    <w:rsid w:val="6E91666F"/>
    <w:rsid w:val="6E9C74ED"/>
    <w:rsid w:val="6EF72976"/>
    <w:rsid w:val="6F795A80"/>
    <w:rsid w:val="6F7C1D2E"/>
    <w:rsid w:val="6F8E0407"/>
    <w:rsid w:val="6FBE16E5"/>
    <w:rsid w:val="6FDD069F"/>
    <w:rsid w:val="700510C2"/>
    <w:rsid w:val="701E0AC6"/>
    <w:rsid w:val="702B4D16"/>
    <w:rsid w:val="705D39A9"/>
    <w:rsid w:val="70AA6621"/>
    <w:rsid w:val="70C44AD9"/>
    <w:rsid w:val="7111480F"/>
    <w:rsid w:val="71261F49"/>
    <w:rsid w:val="712E4649"/>
    <w:rsid w:val="712E6956"/>
    <w:rsid w:val="71473612"/>
    <w:rsid w:val="71504F32"/>
    <w:rsid w:val="7152309F"/>
    <w:rsid w:val="717B5AE0"/>
    <w:rsid w:val="718F7F65"/>
    <w:rsid w:val="719E17CE"/>
    <w:rsid w:val="71EA66FA"/>
    <w:rsid w:val="720C45CB"/>
    <w:rsid w:val="72113D4E"/>
    <w:rsid w:val="727B234E"/>
    <w:rsid w:val="728C7879"/>
    <w:rsid w:val="72A83CCB"/>
    <w:rsid w:val="72D068C7"/>
    <w:rsid w:val="72E42ED8"/>
    <w:rsid w:val="73102258"/>
    <w:rsid w:val="735F4CB9"/>
    <w:rsid w:val="73674C62"/>
    <w:rsid w:val="73845865"/>
    <w:rsid w:val="739509AF"/>
    <w:rsid w:val="739B6D9E"/>
    <w:rsid w:val="73AF2114"/>
    <w:rsid w:val="73BC1D76"/>
    <w:rsid w:val="73DC038C"/>
    <w:rsid w:val="73FB6630"/>
    <w:rsid w:val="748D790E"/>
    <w:rsid w:val="749820CC"/>
    <w:rsid w:val="74CE04EC"/>
    <w:rsid w:val="74E76DCD"/>
    <w:rsid w:val="74F0564D"/>
    <w:rsid w:val="751D7C0A"/>
    <w:rsid w:val="75722D56"/>
    <w:rsid w:val="75824269"/>
    <w:rsid w:val="75DB5477"/>
    <w:rsid w:val="75E33C54"/>
    <w:rsid w:val="75FC6AC3"/>
    <w:rsid w:val="7616619B"/>
    <w:rsid w:val="76595CC4"/>
    <w:rsid w:val="76660D7C"/>
    <w:rsid w:val="766C5968"/>
    <w:rsid w:val="769517AE"/>
    <w:rsid w:val="76A870D5"/>
    <w:rsid w:val="76BE0C8F"/>
    <w:rsid w:val="76CD53B2"/>
    <w:rsid w:val="770719AC"/>
    <w:rsid w:val="77420BC5"/>
    <w:rsid w:val="776526CC"/>
    <w:rsid w:val="77A262E1"/>
    <w:rsid w:val="77B13C33"/>
    <w:rsid w:val="77ED6F44"/>
    <w:rsid w:val="77F45548"/>
    <w:rsid w:val="784E7CA6"/>
    <w:rsid w:val="78574801"/>
    <w:rsid w:val="7873527F"/>
    <w:rsid w:val="78C20C10"/>
    <w:rsid w:val="78F56274"/>
    <w:rsid w:val="790A6425"/>
    <w:rsid w:val="790E2D96"/>
    <w:rsid w:val="791B54B2"/>
    <w:rsid w:val="795A0A34"/>
    <w:rsid w:val="797339C3"/>
    <w:rsid w:val="79B778D1"/>
    <w:rsid w:val="79D57D57"/>
    <w:rsid w:val="79F00650"/>
    <w:rsid w:val="7A3662A4"/>
    <w:rsid w:val="7A57076C"/>
    <w:rsid w:val="7A6242BF"/>
    <w:rsid w:val="7A794513"/>
    <w:rsid w:val="7AE952D2"/>
    <w:rsid w:val="7B000E04"/>
    <w:rsid w:val="7BE66BCD"/>
    <w:rsid w:val="7C976D69"/>
    <w:rsid w:val="7CD752DA"/>
    <w:rsid w:val="7CDE40AB"/>
    <w:rsid w:val="7CE87DA1"/>
    <w:rsid w:val="7CF057E2"/>
    <w:rsid w:val="7D1548B5"/>
    <w:rsid w:val="7D5766A3"/>
    <w:rsid w:val="7D843F76"/>
    <w:rsid w:val="7D893333"/>
    <w:rsid w:val="7D96647C"/>
    <w:rsid w:val="7D9F66B2"/>
    <w:rsid w:val="7DA93EBE"/>
    <w:rsid w:val="7DF84014"/>
    <w:rsid w:val="7E207949"/>
    <w:rsid w:val="7E372707"/>
    <w:rsid w:val="7E520033"/>
    <w:rsid w:val="7E5C0A47"/>
    <w:rsid w:val="7E670C75"/>
    <w:rsid w:val="7EE24272"/>
    <w:rsid w:val="7EEA6053"/>
    <w:rsid w:val="7EF46ED2"/>
    <w:rsid w:val="7F482D79"/>
    <w:rsid w:val="7F487C04"/>
    <w:rsid w:val="7F9935D5"/>
    <w:rsid w:val="7FB45F21"/>
    <w:rsid w:val="7FE57088"/>
    <w:rsid w:val="7FF37FA3"/>
    <w:rsid w:val="7FFB07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ind w:firstLine="200" w:firstLineChars="200"/>
    </w:pPr>
    <w:rPr>
      <w:sz w:val="32"/>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3"/>
    <w:qFormat/>
    <w:uiPriority w:val="99"/>
    <w:pPr>
      <w:ind w:firstLine="420"/>
    </w:pPr>
    <w:rPr>
      <w:rFonts w:ascii="Calibri" w:hAnsi="Calibri" w:eastAsia="宋体" w:cs="Times New Roman"/>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5442</Words>
  <Characters>6049</Characters>
  <Lines>0</Lines>
  <Paragraphs>0</Paragraphs>
  <TotalTime>2</TotalTime>
  <ScaleCrop>false</ScaleCrop>
  <LinksUpToDate>false</LinksUpToDate>
  <CharactersWithSpaces>6073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2024-09-07T15:37:32Z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48BF68DCC6AB4DC4AA54D13E94A3A1D7_13</vt:lpwstr>
  </property>
</Properties>
</file>