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79B47">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061B65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65C3E8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阿勒泰地区国土资源执法监察支队</w:t>
      </w:r>
    </w:p>
    <w:p w14:paraId="485E46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1011E7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81A1F9B">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C2A035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CCAC32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D2E81B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AC2EB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459EFA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8E0E78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E08DF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CFB2E1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E9814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DBC9C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740AF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D3477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DB881F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87F488B">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D7C4E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5DE065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4A0B48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F9B123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7A863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E4858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1F2CF0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D2025A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620DE5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1950A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E3A88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9CD8F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B2F15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6A7B2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2C4B0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03AFC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AF0C7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C32C37A">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0E545C5">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04813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689DEA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A63E595">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阿勒泰地区国土资源执法监察支队，为副处级垂直管理单位，履行阿勒泰地区国土资源执法监察职能，是参照国家公务员法管理的事业单位</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fldChar w:fldCharType="begin">
          <w:fldData xml:space="preserve">QQBBADkARQA3ADIAOABFADUAMgAxADYANAAxAEUANABCADYANwBEAEQAQwAwAEIARABDADAANwA0
AEIARQAyAA==
</w:fldData>
        </w:fldChar>
      </w:r>
      <w:r>
        <w:rPr>
          <w:rFonts w:hint="eastAsia" w:ascii="仿宋_GB2312" w:eastAsia="仿宋_GB2312"/>
          <w:color w:val="auto"/>
          <w:sz w:val="32"/>
          <w:szCs w:val="32"/>
          <w:highlight w:val="none"/>
          <w:lang w:val="en-US" w:eastAsia="zh-CN"/>
        </w:rPr>
        <w:instrText xml:space="preserve">Addin 项目单位基本情况</w:instrText>
      </w:r>
      <w:r>
        <w:rPr>
          <w:rFonts w:hint="eastAsia" w:ascii="仿宋_GB2312" w:eastAsia="仿宋_GB2312"/>
          <w:color w:val="auto"/>
          <w:sz w:val="32"/>
          <w:szCs w:val="32"/>
          <w:highlight w:val="none"/>
          <w:lang w:val="en-US" w:eastAsia="zh-CN"/>
        </w:rPr>
        <w:fldChar w:fldCharType="separate"/>
      </w:r>
    </w:p>
    <w:p w14:paraId="30728F8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fldChar w:fldCharType="end"/>
      </w:r>
      <w:r>
        <w:rPr>
          <w:rFonts w:hint="eastAsia" w:ascii="仿宋_GB2312" w:eastAsia="仿宋_GB2312"/>
          <w:color w:val="auto"/>
          <w:sz w:val="32"/>
          <w:szCs w:val="32"/>
          <w:highlight w:val="none"/>
          <w:lang w:val="en-US" w:eastAsia="zh-CN"/>
        </w:rPr>
        <w:t>1、宣传和贯彻执行国家、自治区有关土地、矿产资源的法律、法规、规章和政策。</w:t>
      </w:r>
    </w:p>
    <w:p w14:paraId="5659D5B2">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2、组织和实施对阿勒泰地区执行土地、矿产资源法律、法规、规章情况的巡查，及时发现和制止土地、矿产资源违法行为。</w:t>
      </w:r>
    </w:p>
    <w:p w14:paraId="2FDD0C20">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3、依法组织和实施阿勒泰地区重大土地、矿产资源违法案件的调查、取证、现场勘验工作，并进行查处。</w:t>
      </w:r>
    </w:p>
    <w:p w14:paraId="17510F7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4、负责阿勒泰地区重大土地、矿产资源违法案件查处决定的督办。</w:t>
      </w:r>
    </w:p>
    <w:p w14:paraId="644A1DDD">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5、领导辖区内各县、市国土资源执法监察大队，负责全地区国土资源执法监察队伍建设，统一管理全地区国土资源执法监察机构的机构编制、人员、经费和内部审计。</w:t>
      </w:r>
    </w:p>
    <w:p w14:paraId="335D752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6、完成自治区国土资源执法监察总队和当地党委政府交办的其他工作。</w:t>
      </w:r>
    </w:p>
    <w:p w14:paraId="5260FB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14:paraId="690381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047AC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阿勒泰地区国土资源执法监察支队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p>
    <w:p w14:paraId="322D43EC">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新疆维吾尔自治区阿勒泰地区国土资源执法监察支队</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新疆维吾尔自治区阿勒泰地区国土资源执法监察支队</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14:paraId="609ACD7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新疆维吾尔自治区阿勒泰地区国土资源执法监察支队</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2</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办公室、业务室</w:t>
      </w:r>
      <w:r>
        <w:rPr>
          <w:rFonts w:hint="eastAsia" w:ascii="仿宋_GB2312" w:hAnsi="宋体" w:eastAsia="仿宋_GB2312" w:cs="宋体"/>
          <w:color w:val="auto"/>
          <w:kern w:val="0"/>
          <w:sz w:val="32"/>
          <w:szCs w:val="32"/>
          <w:highlight w:val="none"/>
        </w:rPr>
        <w:t>。</w:t>
      </w:r>
    </w:p>
    <w:p w14:paraId="5EE9252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val="en-US" w:eastAsia="zh-CN"/>
        </w:rPr>
        <w:t>新疆维吾尔自治区阿勒泰地区国土资源执法监察支队</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bookmarkStart w:id="6" w:name="_Toc29374"/>
      <w:bookmarkStart w:id="7" w:name="_Toc3092"/>
    </w:p>
    <w:p w14:paraId="0DD3CD8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rPr>
        <w:t>阿勒泰地区国土资源执法监察支队</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本级）</w:t>
      </w:r>
    </w:p>
    <w:p w14:paraId="4281FCD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default" w:ascii="仿宋_GB2312" w:eastAsia="仿宋_GB2312"/>
          <w:color w:val="auto"/>
          <w:spacing w:val="0"/>
          <w:sz w:val="32"/>
          <w:szCs w:val="32"/>
          <w:highlight w:val="none"/>
          <w:lang w:val="en-US" w:eastAsia="zh-CN"/>
        </w:rPr>
        <w:t>2</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rPr>
        <w:t>阿勒泰地区国土资源执法监察支队</w:t>
      </w:r>
    </w:p>
    <w:p w14:paraId="62391F3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rPr>
        <w:t>阿勒泰市国土资源执法监察大队</w:t>
      </w:r>
    </w:p>
    <w:p w14:paraId="5F663FC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4.</w:t>
      </w:r>
      <w:r>
        <w:rPr>
          <w:rFonts w:hint="eastAsia" w:ascii="仿宋_GB2312" w:eastAsia="仿宋_GB2312"/>
          <w:color w:val="auto"/>
          <w:spacing w:val="0"/>
          <w:sz w:val="32"/>
          <w:szCs w:val="32"/>
          <w:highlight w:val="none"/>
        </w:rPr>
        <w:t>布尔津县国土资源执法监察大</w:t>
      </w:r>
    </w:p>
    <w:p w14:paraId="083B163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5.</w:t>
      </w:r>
      <w:r>
        <w:rPr>
          <w:rFonts w:hint="eastAsia" w:ascii="仿宋_GB2312" w:eastAsia="仿宋_GB2312"/>
          <w:color w:val="auto"/>
          <w:spacing w:val="0"/>
          <w:sz w:val="32"/>
          <w:szCs w:val="32"/>
          <w:highlight w:val="none"/>
        </w:rPr>
        <w:t>哈巴河县国土资源执法监察大队</w:t>
      </w:r>
    </w:p>
    <w:p w14:paraId="57C5DE2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6.</w:t>
      </w:r>
      <w:r>
        <w:rPr>
          <w:rFonts w:hint="eastAsia" w:ascii="仿宋_GB2312" w:eastAsia="仿宋_GB2312"/>
          <w:color w:val="auto"/>
          <w:spacing w:val="0"/>
          <w:sz w:val="32"/>
          <w:szCs w:val="32"/>
          <w:highlight w:val="none"/>
        </w:rPr>
        <w:t>富蕴县国土资源执法监察大队</w:t>
      </w:r>
    </w:p>
    <w:p w14:paraId="3458730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rPr>
        <w:t>福海县国土资源执法监察大队</w:t>
      </w:r>
    </w:p>
    <w:p w14:paraId="4F8253C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rPr>
        <w:t>吉木乃县国土资源执法监察大队</w:t>
      </w:r>
    </w:p>
    <w:p w14:paraId="5F4CF29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9.青河县</w:t>
      </w:r>
      <w:r>
        <w:rPr>
          <w:rFonts w:hint="eastAsia" w:ascii="仿宋_GB2312" w:eastAsia="仿宋_GB2312"/>
          <w:color w:val="auto"/>
          <w:spacing w:val="0"/>
          <w:sz w:val="32"/>
          <w:szCs w:val="32"/>
          <w:highlight w:val="none"/>
        </w:rPr>
        <w:t>国土资源执法监察大队</w:t>
      </w:r>
    </w:p>
    <w:p w14:paraId="45A88A0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p>
    <w:p w14:paraId="489FFB0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p>
    <w:p w14:paraId="2AFB2EE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rPr>
      </w:pPr>
    </w:p>
    <w:p w14:paraId="39C304F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p>
    <w:p w14:paraId="4599F9B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p>
    <w:p w14:paraId="3CD82E8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DA4B3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70AA26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1,297.70万元，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1,116.56万元，使用非财政拨款结余0.00万元，年初结转和结余181.15万元。</w:t>
      </w:r>
    </w:p>
    <w:p w14:paraId="5C9052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1,297.70万元，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1,201.85万元，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0.00万元，年末结转和结余95.85万元。</w:t>
      </w:r>
    </w:p>
    <w:p w14:paraId="2060FA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减少16.16万元</w:t>
      </w:r>
      <w:r>
        <w:rPr>
          <w:rFonts w:hint="eastAsia" w:ascii="仿宋_GB2312" w:eastAsia="仿宋_GB2312"/>
          <w:color w:val="auto"/>
          <w:spacing w:val="0"/>
          <w:sz w:val="32"/>
          <w:szCs w:val="32"/>
          <w:highlight w:val="none"/>
          <w:lang w:val="en-US" w:eastAsia="zh-CN"/>
        </w:rPr>
        <w:t>，下降1.23%，主要原因是：</w:t>
      </w:r>
      <w:r>
        <w:rPr>
          <w:rFonts w:hint="eastAsia" w:ascii="仿宋_GB2312" w:eastAsia="仿宋_GB2312"/>
          <w:color w:val="auto"/>
          <w:spacing w:val="0"/>
          <w:sz w:val="32"/>
          <w:szCs w:val="32"/>
          <w:highlight w:val="none"/>
          <w:lang w:val="zh-CN" w:eastAsia="zh-CN"/>
        </w:rPr>
        <w:t>根据新财社【</w:t>
      </w: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val="en-US" w:eastAsia="zh-CN"/>
        </w:rPr>
        <w:t>168号文件，当地医保局对退休人员的医疗补助缴费退回缴纳单位，并由缴费单位退回至自治区财政，导致本年度收入支出整体减少</w:t>
      </w:r>
      <w:r>
        <w:rPr>
          <w:rFonts w:hint="eastAsia" w:ascii="仿宋_GB2312" w:eastAsia="仿宋_GB2312"/>
          <w:color w:val="auto"/>
          <w:spacing w:val="0"/>
          <w:sz w:val="32"/>
          <w:szCs w:val="32"/>
          <w:highlight w:val="none"/>
          <w:lang w:val="zh-CN" w:eastAsia="zh-CN"/>
        </w:rPr>
        <w:t>。</w:t>
      </w:r>
    </w:p>
    <w:p w14:paraId="4FC516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8558E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1,116.56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1,116.11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0.45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04EE3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218E31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本年支出1,201.85万元，其中：基本支出921.57万元，占76.68%；项目支出280.29万元，占23.32%；上缴上级支出0.00万元，占0.00%；经营支出0.00万元，占0.00%；对附属单位补助支出0.00万元，占0.00%。</w:t>
      </w:r>
    </w:p>
    <w:p w14:paraId="0485FE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952C2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zh-CN" w:eastAsia="zh-CN"/>
        </w:rPr>
        <w:t>2023年度财政拨款收入</w:t>
      </w:r>
      <w:r>
        <w:rPr>
          <w:rFonts w:hint="eastAsia" w:ascii="Times New Roman" w:hAnsi="Times New Roman" w:eastAsia="仿宋_GB2312" w:cs="仿宋_GB2312"/>
          <w:color w:val="auto"/>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1,132.10万元，</w:t>
      </w:r>
      <w:r>
        <w:rPr>
          <w:rFonts w:hint="eastAsia" w:ascii="Times New Roman" w:hAnsi="Times New Roman" w:eastAsia="仿宋_GB2312" w:cs="仿宋_GB2312"/>
          <w:color w:val="auto"/>
          <w:sz w:val="32"/>
          <w:szCs w:val="32"/>
          <w:highlight w:val="none"/>
          <w:lang w:val="en-US" w:eastAsia="zh-CN"/>
        </w:rPr>
        <w:t>其中：年初财政拨款结转和结余</w:t>
      </w:r>
      <w:r>
        <w:rPr>
          <w:rFonts w:hint="eastAsia" w:ascii="Times New Roman" w:hAnsi="Times New Roman" w:eastAsia="仿宋_GB2312" w:cs="仿宋_GB2312"/>
          <w:color w:val="auto"/>
          <w:sz w:val="32"/>
          <w:szCs w:val="32"/>
          <w:highlight w:val="none"/>
          <w:lang w:val="zh-CN" w:eastAsia="zh-CN"/>
        </w:rPr>
        <w:t>15.99万元，</w:t>
      </w:r>
      <w:r>
        <w:rPr>
          <w:rFonts w:hint="eastAsia" w:ascii="Times New Roman" w:hAnsi="Times New Roman" w:eastAsia="仿宋_GB2312" w:cs="仿宋_GB2312"/>
          <w:color w:val="auto"/>
          <w:sz w:val="32"/>
          <w:szCs w:val="32"/>
          <w:highlight w:val="none"/>
          <w:lang w:val="en-US" w:eastAsia="zh-CN"/>
        </w:rPr>
        <w:t>本年财政拨款收入</w:t>
      </w:r>
      <w:r>
        <w:rPr>
          <w:rFonts w:hint="eastAsia" w:ascii="Times New Roman" w:hAnsi="Times New Roman" w:eastAsia="仿宋_GB2312" w:cs="仿宋_GB2312"/>
          <w:color w:val="auto"/>
          <w:sz w:val="32"/>
          <w:szCs w:val="32"/>
          <w:highlight w:val="none"/>
          <w:lang w:val="zh-CN" w:eastAsia="zh-CN"/>
        </w:rPr>
        <w:t>1,116.11万元。财政拨款支出</w:t>
      </w:r>
      <w:r>
        <w:rPr>
          <w:rFonts w:hint="eastAsia" w:ascii="Times New Roman" w:hAnsi="Times New Roman" w:eastAsia="仿宋_GB2312" w:cs="仿宋_GB2312"/>
          <w:color w:val="auto"/>
          <w:sz w:val="32"/>
          <w:szCs w:val="32"/>
          <w:highlight w:val="none"/>
          <w:lang w:val="en-US" w:eastAsia="zh-CN"/>
        </w:rPr>
        <w:t>总计</w:t>
      </w:r>
      <w:r>
        <w:rPr>
          <w:rFonts w:hint="eastAsia" w:ascii="Times New Roman" w:hAnsi="Times New Roman" w:eastAsia="仿宋_GB2312" w:cs="仿宋_GB2312"/>
          <w:color w:val="auto"/>
          <w:sz w:val="32"/>
          <w:szCs w:val="32"/>
          <w:highlight w:val="none"/>
          <w:lang w:val="zh-CN" w:eastAsia="zh-CN"/>
        </w:rPr>
        <w:t>1,132.10万元，</w:t>
      </w:r>
      <w:r>
        <w:rPr>
          <w:rFonts w:hint="eastAsia" w:ascii="Times New Roman" w:hAnsi="Times New Roman" w:eastAsia="仿宋_GB2312" w:cs="仿宋_GB2312"/>
          <w:color w:val="auto"/>
          <w:sz w:val="32"/>
          <w:szCs w:val="32"/>
          <w:highlight w:val="none"/>
          <w:lang w:val="en-US" w:eastAsia="zh-CN"/>
        </w:rPr>
        <w:t>其中：年末财政拨款结转和结余</w:t>
      </w:r>
      <w:r>
        <w:rPr>
          <w:rFonts w:hint="eastAsia" w:ascii="Times New Roman" w:hAnsi="Times New Roman" w:eastAsia="仿宋_GB2312" w:cs="仿宋_GB2312"/>
          <w:color w:val="auto"/>
          <w:sz w:val="32"/>
          <w:szCs w:val="32"/>
          <w:highlight w:val="none"/>
          <w:lang w:val="zh-CN" w:eastAsia="zh-CN"/>
        </w:rPr>
        <w:t>5.70万元，</w:t>
      </w:r>
      <w:r>
        <w:rPr>
          <w:rFonts w:hint="eastAsia" w:ascii="Times New Roman" w:hAnsi="Times New Roman" w:eastAsia="仿宋_GB2312" w:cs="仿宋_GB2312"/>
          <w:color w:val="auto"/>
          <w:sz w:val="32"/>
          <w:szCs w:val="32"/>
          <w:highlight w:val="none"/>
          <w:lang w:val="en-US" w:eastAsia="zh-CN"/>
        </w:rPr>
        <w:t>本年财政拨款支出</w:t>
      </w:r>
      <w:r>
        <w:rPr>
          <w:rFonts w:hint="eastAsia" w:ascii="Times New Roman" w:hAnsi="Times New Roman" w:eastAsia="仿宋_GB2312" w:cs="仿宋_GB2312"/>
          <w:color w:val="auto"/>
          <w:sz w:val="32"/>
          <w:szCs w:val="32"/>
          <w:highlight w:val="none"/>
          <w:lang w:val="zh-CN" w:eastAsia="zh-CN"/>
        </w:rPr>
        <w:t>1,126.39万元。</w:t>
      </w:r>
    </w:p>
    <w:p w14:paraId="5D5836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zh-CN" w:eastAsia="zh-CN"/>
        </w:rPr>
        <w:t>财政拨款收入支出总体与上年相比</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zh-CN" w:eastAsia="zh-CN"/>
        </w:rPr>
        <w:t>增加28.73万元，增长2.60%，主要原因是：</w:t>
      </w:r>
      <w:r>
        <w:rPr>
          <w:rFonts w:hint="eastAsia" w:ascii="Times New Roman" w:hAnsi="Times New Roman" w:eastAsia="仿宋_GB2312" w:cs="仿宋_GB2312"/>
          <w:color w:val="auto"/>
          <w:sz w:val="32"/>
          <w:szCs w:val="32"/>
          <w:highlight w:val="none"/>
          <w:lang w:val="en-US" w:eastAsia="zh-CN"/>
        </w:rPr>
        <w:t>一是</w:t>
      </w:r>
      <w:r>
        <w:rPr>
          <w:rFonts w:hint="eastAsia" w:eastAsia="仿宋_GB2312" w:cs="仿宋_GB2312"/>
          <w:color w:val="auto"/>
          <w:sz w:val="32"/>
          <w:szCs w:val="32"/>
          <w:highlight w:val="none"/>
          <w:lang w:val="en-US" w:eastAsia="zh-CN"/>
        </w:rPr>
        <w:t>人员工资正常晋升导致人员经费和公用经费相应增加</w:t>
      </w:r>
      <w:r>
        <w:rPr>
          <w:rFonts w:hint="eastAsia" w:ascii="Times New Roman" w:hAnsi="Times New Roman"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en-US" w:eastAsia="zh-CN"/>
        </w:rPr>
        <w:t>二是吉木乃县大队、青河县大队、哈巴河县大队追加退休人员职业年金</w:t>
      </w:r>
      <w:r>
        <w:rPr>
          <w:rFonts w:hint="eastAsia" w:eastAsia="仿宋_GB2312" w:cs="仿宋_GB2312"/>
          <w:color w:val="auto"/>
          <w:sz w:val="32"/>
          <w:szCs w:val="32"/>
          <w:highlight w:val="none"/>
          <w:lang w:val="en-US" w:eastAsia="zh-CN"/>
        </w:rPr>
        <w:t>；三是</w:t>
      </w:r>
      <w:r>
        <w:rPr>
          <w:rFonts w:hint="eastAsia" w:ascii="Times New Roman" w:hAnsi="Times New Roman" w:eastAsia="仿宋_GB2312" w:cs="仿宋_GB2312"/>
          <w:color w:val="auto"/>
          <w:sz w:val="32"/>
          <w:szCs w:val="32"/>
          <w:highlight w:val="none"/>
          <w:lang w:val="en-US" w:eastAsia="zh-CN"/>
        </w:rPr>
        <w:t>在职人员工资晋升、社会保障缴费基数调增</w:t>
      </w:r>
      <w:r>
        <w:rPr>
          <w:rFonts w:hint="eastAsia"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eastAsia="zh-CN"/>
        </w:rPr>
        <w:t>导致本年财政拨款收入支出总体比上年增加</w:t>
      </w:r>
      <w:r>
        <w:rPr>
          <w:rFonts w:hint="eastAsia" w:ascii="Times New Roman" w:hAnsi="Times New Roman" w:eastAsia="仿宋_GB2312" w:cs="仿宋_GB2312"/>
          <w:color w:val="auto"/>
          <w:sz w:val="32"/>
          <w:szCs w:val="32"/>
          <w:highlight w:val="none"/>
          <w:lang w:val="zh-CN" w:eastAsia="zh-CN"/>
        </w:rPr>
        <w:t>。与年初预算相比，年初预算数1,021.30万元，决算数1,132.10万元，预决算差异率10.85%，主要原因是：</w:t>
      </w:r>
      <w:r>
        <w:rPr>
          <w:rFonts w:hint="eastAsia" w:ascii="Times New Roman" w:hAnsi="Times New Roman" w:eastAsia="仿宋_GB2312" w:cs="仿宋_GB2312"/>
          <w:color w:val="auto"/>
          <w:sz w:val="32"/>
          <w:szCs w:val="32"/>
          <w:highlight w:val="none"/>
          <w:lang w:val="en-US" w:eastAsia="zh-CN"/>
        </w:rPr>
        <w:t>一是</w:t>
      </w:r>
      <w:r>
        <w:rPr>
          <w:rFonts w:hint="eastAsia" w:ascii="Times New Roman" w:hAnsi="Times New Roman" w:eastAsia="仿宋_GB2312" w:cs="仿宋_GB2312"/>
          <w:color w:val="auto"/>
          <w:sz w:val="32"/>
          <w:szCs w:val="32"/>
          <w:highlight w:val="none"/>
          <w:lang w:val="zh-CN" w:eastAsia="zh-CN"/>
        </w:rPr>
        <w:t>根据考核结果追加并发放年终绩效考核奖金；</w:t>
      </w:r>
      <w:r>
        <w:rPr>
          <w:rFonts w:hint="eastAsia" w:ascii="Times New Roman" w:hAnsi="Times New Roman" w:eastAsia="仿宋_GB2312" w:cs="仿宋_GB2312"/>
          <w:color w:val="auto"/>
          <w:sz w:val="32"/>
          <w:szCs w:val="32"/>
          <w:highlight w:val="none"/>
          <w:lang w:val="en-US" w:eastAsia="zh-CN"/>
        </w:rPr>
        <w:t>二是吉木乃县大队、青河县大队、哈巴河县大队追加退休人员职业年金</w:t>
      </w:r>
      <w:r>
        <w:rPr>
          <w:rFonts w:hint="eastAsia" w:ascii="Times New Roman" w:hAnsi="Times New Roman" w:eastAsia="仿宋_GB2312" w:cs="仿宋_GB2312"/>
          <w:color w:val="auto"/>
          <w:sz w:val="32"/>
          <w:szCs w:val="32"/>
          <w:highlight w:val="none"/>
          <w:lang w:val="zh-CN" w:eastAsia="zh-CN"/>
        </w:rPr>
        <w:t>。</w:t>
      </w:r>
    </w:p>
    <w:p w14:paraId="39E100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5142E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06E7E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2023年度一般公共预算财政拨款支出1,126.39万元，占本年支出合计的</w:t>
      </w:r>
      <w:r>
        <w:rPr>
          <w:rFonts w:hint="eastAsia" w:ascii="Times New Roman" w:hAnsi="Times New Roman" w:eastAsia="仿宋_GB2312" w:cs="仿宋_GB2312"/>
          <w:color w:val="auto"/>
          <w:sz w:val="32"/>
          <w:szCs w:val="32"/>
          <w:highlight w:val="none"/>
          <w:lang w:val="zh-CN" w:eastAsia="zh-CN"/>
        </w:rPr>
        <w:t>93.72%</w:t>
      </w:r>
      <w:r>
        <w:rPr>
          <w:rFonts w:hint="eastAsia" w:ascii="Times New Roman" w:hAnsi="Times New Roman" w:eastAsia="仿宋_GB2312" w:cs="仿宋_GB2312"/>
          <w:color w:val="auto"/>
          <w:sz w:val="32"/>
          <w:szCs w:val="32"/>
          <w:highlight w:val="none"/>
          <w:lang w:val="en-US" w:eastAsia="zh-CN"/>
        </w:rPr>
        <w:t>。与上年相比，</w:t>
      </w:r>
      <w:r>
        <w:rPr>
          <w:rFonts w:hint="eastAsia" w:ascii="Times New Roman" w:hAnsi="Times New Roman" w:eastAsia="仿宋_GB2312" w:cs="仿宋_GB2312"/>
          <w:color w:val="auto"/>
          <w:sz w:val="32"/>
          <w:szCs w:val="32"/>
          <w:highlight w:val="none"/>
          <w:lang w:val="zh-CN" w:eastAsia="zh-CN"/>
        </w:rPr>
        <w:t>增加39.02万元</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zh-CN" w:eastAsia="zh-CN"/>
        </w:rPr>
        <w:t>增长3.59%，</w:t>
      </w:r>
      <w:r>
        <w:rPr>
          <w:rFonts w:hint="eastAsia" w:ascii="Times New Roman" w:hAnsi="Times New Roman" w:eastAsia="仿宋_GB2312" w:cs="仿宋_GB2312"/>
          <w:color w:val="auto"/>
          <w:sz w:val="32"/>
          <w:szCs w:val="32"/>
          <w:highlight w:val="none"/>
          <w:lang w:val="en-US" w:eastAsia="zh-CN"/>
        </w:rPr>
        <w:t>主要原因是：一是</w:t>
      </w:r>
      <w:r>
        <w:rPr>
          <w:rFonts w:hint="eastAsia" w:eastAsia="仿宋_GB2312" w:cs="仿宋_GB2312"/>
          <w:color w:val="auto"/>
          <w:sz w:val="32"/>
          <w:szCs w:val="32"/>
          <w:highlight w:val="none"/>
          <w:lang w:val="en-US" w:eastAsia="zh-CN"/>
        </w:rPr>
        <w:t>人员工资福利正常晋升导致人员经费和公用经费相应增加</w:t>
      </w:r>
      <w:r>
        <w:rPr>
          <w:rFonts w:hint="eastAsia" w:ascii="Times New Roman" w:hAnsi="Times New Roman" w:eastAsia="仿宋_GB2312" w:cs="仿宋_GB2312"/>
          <w:color w:val="auto"/>
          <w:sz w:val="32"/>
          <w:szCs w:val="32"/>
          <w:highlight w:val="none"/>
          <w:lang w:val="zh-CN" w:eastAsia="zh-CN"/>
        </w:rPr>
        <w:t>；二是</w:t>
      </w:r>
      <w:r>
        <w:rPr>
          <w:rFonts w:hint="eastAsia" w:ascii="Times New Roman" w:hAnsi="Times New Roman" w:eastAsia="仿宋_GB2312" w:cs="仿宋_GB2312"/>
          <w:color w:val="auto"/>
          <w:sz w:val="32"/>
          <w:szCs w:val="32"/>
          <w:highlight w:val="none"/>
          <w:lang w:val="en-US" w:eastAsia="zh-CN"/>
        </w:rPr>
        <w:t>吉木乃县大队、青河县大队、哈巴河县大队大队追加退休人员职业年金。导致本年财政拨款支出总体比上年增加。与年初预算相比，年初预算数</w:t>
      </w:r>
      <w:r>
        <w:rPr>
          <w:rFonts w:hint="eastAsia" w:ascii="Times New Roman" w:hAnsi="Times New Roman" w:eastAsia="仿宋_GB2312" w:cs="仿宋_GB2312"/>
          <w:color w:val="auto"/>
          <w:sz w:val="32"/>
          <w:szCs w:val="32"/>
          <w:highlight w:val="none"/>
          <w:lang w:val="zh-CN" w:eastAsia="zh-CN"/>
        </w:rPr>
        <w:t>1,021.30</w:t>
      </w:r>
      <w:r>
        <w:rPr>
          <w:rFonts w:hint="eastAsia" w:ascii="Times New Roman" w:hAnsi="Times New Roman" w:eastAsia="仿宋_GB2312" w:cs="仿宋_GB2312"/>
          <w:color w:val="auto"/>
          <w:sz w:val="32"/>
          <w:szCs w:val="32"/>
          <w:highlight w:val="none"/>
          <w:lang w:val="en-US" w:eastAsia="zh-CN"/>
        </w:rPr>
        <w:t>万元，决算数</w:t>
      </w:r>
      <w:r>
        <w:rPr>
          <w:rFonts w:hint="eastAsia" w:ascii="Times New Roman" w:hAnsi="Times New Roman" w:eastAsia="仿宋_GB2312" w:cs="仿宋_GB2312"/>
          <w:color w:val="auto"/>
          <w:sz w:val="32"/>
          <w:szCs w:val="32"/>
          <w:highlight w:val="none"/>
          <w:lang w:val="zh-CN" w:eastAsia="zh-CN"/>
        </w:rPr>
        <w:t>1,126.39</w:t>
      </w:r>
      <w:r>
        <w:rPr>
          <w:rFonts w:hint="eastAsia" w:ascii="Times New Roman" w:hAnsi="Times New Roman" w:eastAsia="仿宋_GB2312" w:cs="仿宋_GB2312"/>
          <w:color w:val="auto"/>
          <w:sz w:val="32"/>
          <w:szCs w:val="32"/>
          <w:highlight w:val="none"/>
          <w:lang w:val="en-US" w:eastAsia="zh-CN"/>
        </w:rPr>
        <w:t>万元，预决算差异率</w:t>
      </w:r>
      <w:r>
        <w:rPr>
          <w:rFonts w:hint="eastAsia" w:ascii="Times New Roman" w:hAnsi="Times New Roman" w:eastAsia="仿宋_GB2312" w:cs="仿宋_GB2312"/>
          <w:color w:val="auto"/>
          <w:sz w:val="32"/>
          <w:szCs w:val="32"/>
          <w:highlight w:val="none"/>
          <w:lang w:val="zh-CN" w:eastAsia="zh-CN"/>
        </w:rPr>
        <w:t>10.29%</w:t>
      </w:r>
      <w:r>
        <w:rPr>
          <w:rFonts w:hint="eastAsia" w:ascii="Times New Roman" w:hAnsi="Times New Roman" w:eastAsia="仿宋_GB2312" w:cs="仿宋_GB2312"/>
          <w:color w:val="auto"/>
          <w:sz w:val="32"/>
          <w:szCs w:val="32"/>
          <w:highlight w:val="none"/>
          <w:lang w:val="en-US" w:eastAsia="zh-CN"/>
        </w:rPr>
        <w:t>，主要原因是：一是根据考核结果追加并发放支队及大队年终绩效考核奖金；二是吉木乃县大队、青河县大队、哈巴河县大队追加退休人员职业年金</w:t>
      </w:r>
      <w:r>
        <w:rPr>
          <w:rFonts w:hint="eastAsia" w:eastAsia="仿宋_GB2312" w:cs="仿宋_GB2312"/>
          <w:color w:val="auto"/>
          <w:sz w:val="32"/>
          <w:szCs w:val="32"/>
          <w:highlight w:val="none"/>
          <w:lang w:val="en-US" w:eastAsia="zh-CN"/>
        </w:rPr>
        <w:t>；</w:t>
      </w:r>
      <w:r>
        <w:rPr>
          <w:rFonts w:hint="eastAsia" w:ascii="仿宋_GB2312" w:hAnsi="仿宋_GB2312" w:eastAsia="仿宋_GB2312" w:cs="仿宋_GB2312"/>
          <w:color w:val="auto"/>
          <w:spacing w:val="0"/>
          <w:sz w:val="32"/>
          <w:szCs w:val="32"/>
          <w:highlight w:val="none"/>
          <w:lang w:eastAsia="zh-CN"/>
        </w:rPr>
        <w:t>是</w:t>
      </w:r>
      <w:r>
        <w:rPr>
          <w:rFonts w:hint="eastAsia" w:ascii="仿宋_GB2312" w:hAnsi="仿宋_GB2312" w:eastAsia="仿宋_GB2312" w:cs="仿宋_GB2312"/>
          <w:color w:val="auto"/>
          <w:kern w:val="2"/>
          <w:sz w:val="32"/>
          <w:szCs w:val="32"/>
          <w:highlight w:val="none"/>
          <w:lang w:val="zh-CN" w:eastAsia="zh-CN" w:bidi="ar-SA"/>
        </w:rPr>
        <w:t>根据新财社〔</w:t>
      </w:r>
      <w:r>
        <w:rPr>
          <w:rFonts w:hint="eastAsia" w:ascii="仿宋_GB2312" w:hAnsi="仿宋_GB2312" w:eastAsia="仿宋_GB2312" w:cs="仿宋_GB2312"/>
          <w:color w:val="auto"/>
          <w:kern w:val="2"/>
          <w:sz w:val="32"/>
          <w:szCs w:val="32"/>
          <w:highlight w:val="none"/>
          <w:lang w:val="en-US" w:eastAsia="zh-CN" w:bidi="ar-SA"/>
        </w:rPr>
        <w:t>2023</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168号文件，当地医保局对退休人员的医疗补助缴费退回缴纳单位，并由缴费单位退回至自治区财政，综合以上，财政拨款预决算产生差异。</w:t>
      </w:r>
    </w:p>
    <w:p w14:paraId="5DB0A2A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297259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137.12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12.17</w:t>
      </w:r>
      <w:r>
        <w:rPr>
          <w:rFonts w:hint="default" w:ascii="仿宋_GB2312" w:hAnsi="Times New Roman" w:eastAsia="仿宋_GB2312" w:cs="Times New Roman"/>
          <w:color w:val="auto"/>
          <w:spacing w:val="0"/>
          <w:kern w:val="2"/>
          <w:sz w:val="32"/>
          <w:szCs w:val="32"/>
          <w:highlight w:val="none"/>
          <w:lang w:val="zh-CN" w:eastAsia="zh-CN" w:bidi="ar-SA"/>
        </w:rPr>
        <w:t>%；</w:t>
      </w:r>
    </w:p>
    <w:p w14:paraId="0E18A3F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64.44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5.72</w:t>
      </w:r>
      <w:r>
        <w:rPr>
          <w:rFonts w:hint="default" w:ascii="仿宋_GB2312" w:hAnsi="Times New Roman" w:eastAsia="仿宋_GB2312" w:cs="Times New Roman"/>
          <w:color w:val="auto"/>
          <w:spacing w:val="0"/>
          <w:kern w:val="2"/>
          <w:sz w:val="32"/>
          <w:szCs w:val="32"/>
          <w:highlight w:val="none"/>
          <w:lang w:val="zh-CN" w:eastAsia="zh-CN" w:bidi="ar-SA"/>
        </w:rPr>
        <w:t>%；</w:t>
      </w:r>
    </w:p>
    <w:p w14:paraId="0AA1A49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873.51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77.55</w:t>
      </w:r>
      <w:r>
        <w:rPr>
          <w:rFonts w:hint="default" w:ascii="仿宋_GB2312" w:hAnsi="Times New Roman" w:eastAsia="仿宋_GB2312" w:cs="Times New Roman"/>
          <w:color w:val="auto"/>
          <w:spacing w:val="0"/>
          <w:kern w:val="2"/>
          <w:sz w:val="32"/>
          <w:szCs w:val="32"/>
          <w:highlight w:val="none"/>
          <w:lang w:val="zh-CN" w:eastAsia="zh-CN" w:bidi="ar-SA"/>
        </w:rPr>
        <w:t>%；</w:t>
      </w:r>
    </w:p>
    <w:p w14:paraId="08CCDB1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51.33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4.56</w:t>
      </w:r>
      <w:r>
        <w:rPr>
          <w:rFonts w:hint="default" w:ascii="仿宋_GB2312" w:hAnsi="Times New Roman" w:eastAsia="仿宋_GB2312" w:cs="Times New Roman"/>
          <w:color w:val="auto"/>
          <w:spacing w:val="0"/>
          <w:kern w:val="2"/>
          <w:sz w:val="32"/>
          <w:szCs w:val="32"/>
          <w:highlight w:val="none"/>
          <w:lang w:val="zh-CN" w:eastAsia="zh-CN" w:bidi="ar-SA"/>
        </w:rPr>
        <w:t>%；</w:t>
      </w:r>
    </w:p>
    <w:p w14:paraId="7C8F78D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14:paraId="72EB02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1.卫生健康支出（类）行政事业单位医疗（款）行政单位医疗（项）:支出决算数为34.50万元，比上年决算增加2.10万元，增长6.48%，主要原因是：本年度</w:t>
      </w:r>
      <w:r>
        <w:rPr>
          <w:rFonts w:hint="eastAsia" w:ascii="Times New Roman" w:hAnsi="Times New Roman" w:eastAsia="仿宋_GB2312" w:cs="仿宋_GB2312"/>
          <w:color w:val="auto"/>
          <w:sz w:val="32"/>
          <w:szCs w:val="32"/>
          <w:highlight w:val="none"/>
          <w:lang w:val="zh-CN" w:eastAsia="zh-CN"/>
        </w:rPr>
        <w:t>基本医疗缴费基数调增</w:t>
      </w:r>
      <w:r>
        <w:rPr>
          <w:rFonts w:hint="eastAsia"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eastAsia="zh-CN"/>
        </w:rPr>
        <w:t>导致基本医疗支出数增加。</w:t>
      </w:r>
    </w:p>
    <w:p w14:paraId="1957B7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2.卫生健康支出（类）行政事业单位医疗（款）公务员医疗补助（项）:支出决算数为29.94万元，比上年决算增加4.74万元，增长18.82%，主要原因是：本年度公务员医疗补助</w:t>
      </w:r>
      <w:r>
        <w:rPr>
          <w:rFonts w:hint="eastAsia" w:ascii="Times New Roman" w:hAnsi="Times New Roman" w:eastAsia="仿宋_GB2312" w:cs="仿宋_GB2312"/>
          <w:color w:val="auto"/>
          <w:sz w:val="32"/>
          <w:szCs w:val="32"/>
          <w:highlight w:val="none"/>
          <w:lang w:val="zh-CN" w:eastAsia="zh-CN"/>
        </w:rPr>
        <w:t>缴费基数调增，</w:t>
      </w:r>
      <w:r>
        <w:rPr>
          <w:rFonts w:hint="eastAsia" w:ascii="Times New Roman" w:hAnsi="Times New Roman" w:eastAsia="仿宋_GB2312" w:cs="仿宋_GB2312"/>
          <w:color w:val="auto"/>
          <w:sz w:val="32"/>
          <w:szCs w:val="32"/>
          <w:highlight w:val="none"/>
          <w:lang w:val="en-US" w:eastAsia="zh-CN"/>
        </w:rPr>
        <w:t>导致公务员医疗补助</w:t>
      </w:r>
      <w:r>
        <w:rPr>
          <w:rFonts w:hint="eastAsia" w:ascii="Times New Roman" w:hAnsi="Times New Roman" w:eastAsia="仿宋_GB2312" w:cs="仿宋_GB2312"/>
          <w:color w:val="auto"/>
          <w:sz w:val="32"/>
          <w:szCs w:val="32"/>
          <w:highlight w:val="none"/>
          <w:lang w:val="zh-CN" w:eastAsia="zh-CN"/>
        </w:rPr>
        <w:t>缴费支出数</w:t>
      </w:r>
      <w:r>
        <w:rPr>
          <w:rFonts w:hint="eastAsia" w:ascii="Times New Roman" w:hAnsi="Times New Roman" w:eastAsia="仿宋_GB2312" w:cs="仿宋_GB2312"/>
          <w:color w:val="auto"/>
          <w:sz w:val="32"/>
          <w:szCs w:val="32"/>
          <w:highlight w:val="none"/>
          <w:lang w:val="en-US" w:eastAsia="zh-CN"/>
        </w:rPr>
        <w:t>增加</w:t>
      </w:r>
      <w:r>
        <w:rPr>
          <w:rFonts w:hint="eastAsia" w:ascii="Times New Roman" w:hAnsi="Times New Roman" w:eastAsia="仿宋_GB2312" w:cs="仿宋_GB2312"/>
          <w:color w:val="auto"/>
          <w:sz w:val="32"/>
          <w:szCs w:val="32"/>
          <w:highlight w:val="none"/>
          <w:lang w:val="zh-CN" w:eastAsia="zh-CN"/>
        </w:rPr>
        <w:t>。</w:t>
      </w:r>
    </w:p>
    <w:p w14:paraId="3B9ED8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3.自然资源海洋气象等支出（类）自然资源事务（款）其他自然资源事务支出（项）:支出决算数为280.29万元，比上年决算增加8.08万元，增长2.97%，主要原因是：</w:t>
      </w:r>
      <w:r>
        <w:rPr>
          <w:rFonts w:hint="eastAsia" w:ascii="Times New Roman" w:hAnsi="Times New Roman" w:eastAsia="仿宋_GB2312" w:cs="仿宋_GB2312"/>
          <w:color w:val="auto"/>
          <w:sz w:val="32"/>
          <w:szCs w:val="32"/>
          <w:highlight w:val="none"/>
          <w:lang w:val="zh-CN" w:eastAsia="zh-CN"/>
        </w:rPr>
        <w:t>本年度执法办案业务量增加，项目支出数增加。</w:t>
      </w:r>
    </w:p>
    <w:p w14:paraId="3B07B6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4.自然资源海洋气象等支出（类）自然资源事务（款）行政运行（项）:支出决算数为593.22万元，比上年决算减少2.99万元，下降0.50%，主要原因是：吉木乃大队在职转退休2人，</w:t>
      </w:r>
      <w:r>
        <w:rPr>
          <w:rFonts w:hint="eastAsia" w:eastAsia="仿宋_GB2312" w:cs="仿宋_GB2312"/>
          <w:color w:val="auto"/>
          <w:sz w:val="32"/>
          <w:szCs w:val="32"/>
          <w:highlight w:val="none"/>
          <w:lang w:val="en-US" w:eastAsia="zh-CN"/>
        </w:rPr>
        <w:t>哈巴河大队在职转退休1人，</w:t>
      </w:r>
      <w:r>
        <w:rPr>
          <w:rFonts w:hint="eastAsia" w:ascii="Times New Roman" w:hAnsi="Times New Roman" w:eastAsia="仿宋_GB2312" w:cs="仿宋_GB2312"/>
          <w:color w:val="auto"/>
          <w:sz w:val="32"/>
          <w:szCs w:val="32"/>
          <w:highlight w:val="none"/>
          <w:lang w:val="en-US" w:eastAsia="zh-CN"/>
        </w:rPr>
        <w:t>导致</w:t>
      </w:r>
      <w:r>
        <w:rPr>
          <w:rFonts w:hint="eastAsia" w:eastAsia="仿宋_GB2312" w:cs="仿宋_GB2312"/>
          <w:color w:val="auto"/>
          <w:sz w:val="32"/>
          <w:szCs w:val="32"/>
          <w:highlight w:val="none"/>
          <w:lang w:val="en-US" w:eastAsia="zh-CN"/>
        </w:rPr>
        <w:t>2023</w:t>
      </w:r>
      <w:r>
        <w:rPr>
          <w:rFonts w:hint="eastAsia" w:ascii="Times New Roman" w:hAnsi="Times New Roman" w:eastAsia="仿宋_GB2312" w:cs="仿宋_GB2312"/>
          <w:color w:val="auto"/>
          <w:sz w:val="32"/>
          <w:szCs w:val="32"/>
          <w:highlight w:val="none"/>
          <w:lang w:val="en-US" w:eastAsia="zh-CN"/>
        </w:rPr>
        <w:t>年度</w:t>
      </w:r>
      <w:r>
        <w:rPr>
          <w:rFonts w:hint="eastAsia" w:eastAsia="仿宋_GB2312" w:cs="仿宋_GB2312"/>
          <w:color w:val="auto"/>
          <w:sz w:val="32"/>
          <w:szCs w:val="32"/>
          <w:highlight w:val="none"/>
          <w:lang w:val="en-US" w:eastAsia="zh-CN"/>
        </w:rPr>
        <w:t>工资福利</w:t>
      </w:r>
      <w:r>
        <w:rPr>
          <w:rFonts w:hint="eastAsia" w:ascii="Times New Roman" w:hAnsi="Times New Roman" w:eastAsia="仿宋_GB2312" w:cs="仿宋_GB2312"/>
          <w:color w:val="auto"/>
          <w:sz w:val="32"/>
          <w:szCs w:val="32"/>
          <w:highlight w:val="none"/>
          <w:lang w:val="en-US" w:eastAsia="zh-CN"/>
        </w:rPr>
        <w:t>支出减少，行政运行支出数减少。</w:t>
      </w:r>
    </w:p>
    <w:p w14:paraId="0FD30F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5.住房保障支出（类）住房改革支出（款）住房公积金（项）:支出决算数为51.33万元，比上年决算增加6.58万元，增长14.70%，主要原因是：本年度住房公积金基数调增</w:t>
      </w:r>
      <w:r>
        <w:rPr>
          <w:rFonts w:hint="eastAsia"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eastAsia="zh-CN"/>
        </w:rPr>
        <w:t>导致住房公积金</w:t>
      </w:r>
      <w:r>
        <w:rPr>
          <w:rFonts w:hint="eastAsia" w:ascii="Times New Roman" w:hAnsi="Times New Roman" w:eastAsia="仿宋_GB2312" w:cs="仿宋_GB2312"/>
          <w:color w:val="auto"/>
          <w:sz w:val="32"/>
          <w:szCs w:val="32"/>
          <w:highlight w:val="none"/>
          <w:lang w:val="zh-CN" w:eastAsia="zh-CN"/>
        </w:rPr>
        <w:t>缴费支出数</w:t>
      </w:r>
      <w:r>
        <w:rPr>
          <w:rFonts w:hint="eastAsia" w:ascii="Times New Roman" w:hAnsi="Times New Roman" w:eastAsia="仿宋_GB2312" w:cs="仿宋_GB2312"/>
          <w:color w:val="auto"/>
          <w:sz w:val="32"/>
          <w:szCs w:val="32"/>
          <w:highlight w:val="none"/>
          <w:lang w:val="en-US" w:eastAsia="zh-CN"/>
        </w:rPr>
        <w:t>增加</w:t>
      </w:r>
      <w:r>
        <w:rPr>
          <w:rFonts w:hint="eastAsia" w:ascii="Times New Roman" w:hAnsi="Times New Roman" w:eastAsia="仿宋_GB2312" w:cs="仿宋_GB2312"/>
          <w:color w:val="auto"/>
          <w:sz w:val="32"/>
          <w:szCs w:val="32"/>
          <w:highlight w:val="none"/>
          <w:lang w:val="zh-CN" w:eastAsia="zh-CN"/>
        </w:rPr>
        <w:t>。</w:t>
      </w:r>
    </w:p>
    <w:p w14:paraId="41DB4D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6.社会保障和就业支出（类）行政事业单位养老支出（款）行政单位离退休（项）:支出决算数为43.48万元，比上年决算减少13.47万元，下降23.65%，主要原因是：</w:t>
      </w:r>
      <w:r>
        <w:rPr>
          <w:rFonts w:hint="eastAsia" w:ascii="Times New Roman" w:hAnsi="Times New Roman" w:eastAsia="仿宋_GB2312" w:cs="仿宋_GB2312"/>
          <w:color w:val="auto"/>
          <w:sz w:val="32"/>
          <w:szCs w:val="32"/>
          <w:highlight w:val="none"/>
          <w:lang w:val="zh-CN" w:eastAsia="zh-CN"/>
        </w:rPr>
        <w:t>根据新财社【</w:t>
      </w:r>
      <w:r>
        <w:rPr>
          <w:rFonts w:hint="eastAsia" w:ascii="Times New Roman" w:hAnsi="Times New Roman" w:eastAsia="仿宋_GB2312" w:cs="仿宋_GB2312"/>
          <w:color w:val="auto"/>
          <w:sz w:val="32"/>
          <w:szCs w:val="32"/>
          <w:highlight w:val="none"/>
          <w:lang w:val="en-US" w:eastAsia="zh-CN"/>
        </w:rPr>
        <w:t>2023</w:t>
      </w:r>
      <w:r>
        <w:rPr>
          <w:rFonts w:hint="eastAsia" w:ascii="Times New Roman" w:hAnsi="Times New Roman"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en-US" w:eastAsia="zh-CN"/>
        </w:rPr>
        <w:t>168号文件，当地医保局对退休人员的医疗补助缴费退回缴纳单位，并由缴费单位退回至自治区财政，导致本年度支出减少</w:t>
      </w:r>
      <w:r>
        <w:rPr>
          <w:rFonts w:hint="eastAsia" w:ascii="Times New Roman" w:hAnsi="Times New Roman" w:eastAsia="仿宋_GB2312" w:cs="仿宋_GB2312"/>
          <w:color w:val="auto"/>
          <w:sz w:val="32"/>
          <w:szCs w:val="32"/>
          <w:highlight w:val="none"/>
          <w:lang w:val="zh-CN" w:eastAsia="zh-CN"/>
        </w:rPr>
        <w:t>。</w:t>
      </w:r>
    </w:p>
    <w:p w14:paraId="7E7858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7.社会保障和就业支出（类）行政事业单位养老支出（款）机关事业单位职业年金缴费支出（项）:支出决算数为25.20万元，比上年决算增加25.20万元，增长100%，主要原因是：本年度追加</w:t>
      </w:r>
      <w:r>
        <w:rPr>
          <w:rFonts w:hint="eastAsia" w:eastAsia="仿宋_GB2312" w:cs="仿宋_GB2312"/>
          <w:color w:val="auto"/>
          <w:sz w:val="32"/>
          <w:szCs w:val="32"/>
          <w:highlight w:val="none"/>
          <w:lang w:val="en-US" w:eastAsia="zh-CN"/>
        </w:rPr>
        <w:t>4</w:t>
      </w:r>
      <w:r>
        <w:rPr>
          <w:rFonts w:hint="eastAsia" w:ascii="Times New Roman" w:hAnsi="Times New Roman" w:eastAsia="仿宋_GB2312" w:cs="仿宋_GB2312"/>
          <w:color w:val="auto"/>
          <w:sz w:val="32"/>
          <w:szCs w:val="32"/>
          <w:highlight w:val="none"/>
          <w:lang w:val="en-US" w:eastAsia="zh-CN"/>
        </w:rPr>
        <w:t>名退休人员职业年金，其中吉木乃县大队2人，</w:t>
      </w:r>
      <w:r>
        <w:rPr>
          <w:rFonts w:hint="eastAsia" w:eastAsia="仿宋_GB2312" w:cs="仿宋_GB2312"/>
          <w:color w:val="auto"/>
          <w:sz w:val="32"/>
          <w:szCs w:val="32"/>
          <w:highlight w:val="none"/>
          <w:lang w:val="en-US" w:eastAsia="zh-CN"/>
        </w:rPr>
        <w:t>哈巴河</w:t>
      </w:r>
      <w:r>
        <w:rPr>
          <w:rFonts w:hint="eastAsia" w:ascii="Times New Roman" w:hAnsi="Times New Roman" w:eastAsia="仿宋_GB2312" w:cs="仿宋_GB2312"/>
          <w:color w:val="auto"/>
          <w:sz w:val="32"/>
          <w:szCs w:val="32"/>
          <w:highlight w:val="none"/>
          <w:lang w:val="en-US" w:eastAsia="zh-CN"/>
        </w:rPr>
        <w:t>县大队1人</w:t>
      </w:r>
      <w:r>
        <w:rPr>
          <w:rFonts w:hint="eastAsia" w:eastAsia="仿宋_GB2312" w:cs="仿宋_GB2312"/>
          <w:color w:val="auto"/>
          <w:sz w:val="32"/>
          <w:szCs w:val="32"/>
          <w:highlight w:val="none"/>
          <w:lang w:val="en-US" w:eastAsia="zh-CN"/>
        </w:rPr>
        <w:t>，青河县大队1人</w:t>
      </w:r>
      <w:r>
        <w:rPr>
          <w:rFonts w:hint="eastAsia" w:ascii="Times New Roman" w:hAnsi="Times New Roman" w:eastAsia="仿宋_GB2312" w:cs="仿宋_GB2312"/>
          <w:color w:val="auto"/>
          <w:sz w:val="32"/>
          <w:szCs w:val="32"/>
          <w:highlight w:val="none"/>
          <w:lang w:val="en-US" w:eastAsia="zh-CN"/>
        </w:rPr>
        <w:t>。</w:t>
      </w:r>
    </w:p>
    <w:p w14:paraId="158A51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8.社会保障和就业支出（类）行政事业单位养老支出（款）机关事业单位基本养老保险缴费支出（项）:支出决算数为68.44万元，比上年决算增加8.77万元，增长14.70%，主要原因是：本年度基本养老保险缴费基数调增</w:t>
      </w:r>
      <w:r>
        <w:rPr>
          <w:rFonts w:hint="eastAsia"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eastAsia="zh-CN"/>
        </w:rPr>
        <w:t>导致基本养老保险缴费</w:t>
      </w:r>
      <w:r>
        <w:rPr>
          <w:rFonts w:hint="eastAsia" w:ascii="Times New Roman" w:hAnsi="Times New Roman" w:eastAsia="仿宋_GB2312" w:cs="仿宋_GB2312"/>
          <w:color w:val="auto"/>
          <w:sz w:val="32"/>
          <w:szCs w:val="32"/>
          <w:highlight w:val="none"/>
          <w:lang w:val="zh-CN" w:eastAsia="zh-CN"/>
        </w:rPr>
        <w:t>支出数</w:t>
      </w:r>
      <w:r>
        <w:rPr>
          <w:rFonts w:hint="eastAsia" w:ascii="Times New Roman" w:hAnsi="Times New Roman" w:eastAsia="仿宋_GB2312" w:cs="仿宋_GB2312"/>
          <w:color w:val="auto"/>
          <w:sz w:val="32"/>
          <w:szCs w:val="32"/>
          <w:highlight w:val="none"/>
          <w:lang w:val="en-US" w:eastAsia="zh-CN"/>
        </w:rPr>
        <w:t>增加</w:t>
      </w:r>
      <w:r>
        <w:rPr>
          <w:rFonts w:hint="eastAsia" w:ascii="Times New Roman" w:hAnsi="Times New Roman" w:eastAsia="仿宋_GB2312" w:cs="仿宋_GB2312"/>
          <w:color w:val="auto"/>
          <w:sz w:val="32"/>
          <w:szCs w:val="32"/>
          <w:highlight w:val="none"/>
          <w:lang w:val="zh-CN" w:eastAsia="zh-CN"/>
        </w:rPr>
        <w:t>。</w:t>
      </w:r>
    </w:p>
    <w:p w14:paraId="48D7D2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A4461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846.11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795.12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其他对个人和家庭的补助。</w:t>
      </w:r>
    </w:p>
    <w:p w14:paraId="25594B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50.99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办公费、水费、电费、邮电费、取暖费、差旅费、工会经费、福利费、其他交通费用、其他商品和服务支出。</w:t>
      </w:r>
    </w:p>
    <w:p w14:paraId="3AC5266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A90262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bookmarkStart w:id="18" w:name="_Toc7927"/>
      <w:bookmarkStart w:id="19" w:name="_Toc5810"/>
      <w:r>
        <w:rPr>
          <w:rFonts w:hint="eastAsia" w:ascii="仿宋_GB2312" w:eastAsia="仿宋_GB2312"/>
          <w:color w:val="auto"/>
          <w:spacing w:val="0"/>
          <w:sz w:val="32"/>
          <w:szCs w:val="32"/>
          <w:highlight w:val="none"/>
          <w:lang w:val="zh-CN" w:eastAsia="zh-CN"/>
        </w:rPr>
        <w:t>2023年度</w:t>
      </w:r>
      <w:r>
        <w:rPr>
          <w:rFonts w:hint="eastAsia" w:ascii="仿宋_GB2312" w:eastAsia="仿宋_GB2312"/>
          <w:color w:val="auto"/>
          <w:spacing w:val="0"/>
          <w:sz w:val="32"/>
          <w:szCs w:val="32"/>
          <w:highlight w:val="none"/>
          <w:lang w:val="en-US" w:eastAsia="zh-CN"/>
        </w:rPr>
        <w:t>财政拨款</w:t>
      </w:r>
      <w:r>
        <w:rPr>
          <w:rFonts w:hint="eastAsia" w:ascii="仿宋_GB2312" w:eastAsia="仿宋_GB2312"/>
          <w:color w:val="auto"/>
          <w:spacing w:val="0"/>
          <w:sz w:val="32"/>
          <w:szCs w:val="32"/>
          <w:highlight w:val="none"/>
          <w:lang w:val="zh-CN" w:eastAsia="zh-CN"/>
        </w:rPr>
        <w:t>“三公”经费支出0.00万元，</w:t>
      </w:r>
      <w:r>
        <w:rPr>
          <w:rFonts w:hint="eastAsia" w:ascii="仿宋_GB2312" w:eastAsia="仿宋_GB2312"/>
          <w:color w:val="auto"/>
          <w:spacing w:val="0"/>
          <w:sz w:val="32"/>
          <w:szCs w:val="32"/>
          <w:highlight w:val="none"/>
          <w:lang w:val="en-US" w:eastAsia="zh-CN"/>
        </w:rPr>
        <w:t>比上年</w:t>
      </w:r>
      <w:r>
        <w:rPr>
          <w:rFonts w:hint="eastAsia" w:ascii="仿宋_GB2312" w:eastAsia="仿宋_GB2312"/>
          <w:color w:val="auto"/>
          <w:spacing w:val="0"/>
          <w:sz w:val="32"/>
          <w:szCs w:val="32"/>
          <w:highlight w:val="none"/>
          <w:lang w:val="zh-CN" w:eastAsia="zh-CN"/>
        </w:rPr>
        <w:t>增加0.00万元，增长0.00%，主要原因是：我单位无财政拨款“ 三公” 经费支出。其中：因公出国（境）费支出0.00万元，占0.00%，比上年增加0.00万元，增长0.00%，主要原因是：</w:t>
      </w:r>
      <w:r>
        <w:rPr>
          <w:rFonts w:hint="eastAsia" w:ascii="仿宋_GB2312" w:eastAsia="仿宋_GB2312"/>
          <w:color w:val="auto"/>
          <w:spacing w:val="0"/>
          <w:sz w:val="32"/>
          <w:szCs w:val="32"/>
          <w:highlight w:val="none"/>
          <w:lang w:val="en-US" w:eastAsia="zh-CN"/>
        </w:rPr>
        <w:t>单位无因公出国（境）费</w:t>
      </w:r>
      <w:r>
        <w:rPr>
          <w:rFonts w:hint="eastAsia" w:ascii="仿宋_GB2312" w:eastAsia="仿宋_GB2312"/>
          <w:color w:val="auto"/>
          <w:spacing w:val="0"/>
          <w:sz w:val="32"/>
          <w:szCs w:val="32"/>
          <w:highlight w:val="none"/>
          <w:lang w:val="zh-CN" w:eastAsia="zh-CN"/>
        </w:rPr>
        <w:t>；公务用车购置及运行维护费支出0.00万元，占0.00%，比上年增加0.00万元，增长0.00%，主要原因是：</w:t>
      </w:r>
      <w:r>
        <w:rPr>
          <w:rFonts w:hint="eastAsia" w:ascii="仿宋_GB2312" w:eastAsia="仿宋_GB2312"/>
          <w:color w:val="auto"/>
          <w:spacing w:val="0"/>
          <w:sz w:val="32"/>
          <w:szCs w:val="32"/>
          <w:highlight w:val="none"/>
          <w:lang w:val="en-US" w:eastAsia="zh-CN"/>
        </w:rPr>
        <w:t>我单位无公务用车购置及运行维护费；</w:t>
      </w:r>
      <w:r>
        <w:rPr>
          <w:rFonts w:hint="eastAsia" w:ascii="仿宋_GB2312" w:eastAsia="仿宋_GB2312"/>
          <w:color w:val="auto"/>
          <w:spacing w:val="0"/>
          <w:sz w:val="32"/>
          <w:szCs w:val="32"/>
          <w:highlight w:val="none"/>
          <w:lang w:val="zh-CN" w:eastAsia="zh-CN"/>
        </w:rPr>
        <w:t>公务接待费支出0.00万元，占0.00%，比上年增加0.00万元，增长0.00%，主要原因是</w:t>
      </w:r>
      <w:r>
        <w:rPr>
          <w:rFonts w:hint="eastAsia" w:ascii="仿宋_GB2312" w:eastAsia="仿宋_GB2312"/>
          <w:color w:val="auto"/>
          <w:spacing w:val="0"/>
          <w:sz w:val="32"/>
          <w:szCs w:val="32"/>
          <w:highlight w:val="none"/>
          <w:lang w:val="en-US" w:eastAsia="zh-CN"/>
        </w:rPr>
        <w:t>我单位无公务接待费</w:t>
      </w:r>
      <w:r>
        <w:rPr>
          <w:rFonts w:hint="eastAsia" w:ascii="仿宋_GB2312" w:eastAsia="仿宋_GB2312"/>
          <w:color w:val="auto"/>
          <w:spacing w:val="0"/>
          <w:sz w:val="32"/>
          <w:szCs w:val="32"/>
          <w:highlight w:val="none"/>
          <w:lang w:val="zh-CN" w:eastAsia="zh-CN"/>
        </w:rPr>
        <w:t>。</w:t>
      </w:r>
    </w:p>
    <w:p w14:paraId="3223862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具体情况如下：</w:t>
      </w:r>
    </w:p>
    <w:p w14:paraId="3F85AB6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因公出国（境）费支出0.00万元，开支内容包括：</w:t>
      </w:r>
      <w:r>
        <w:rPr>
          <w:rFonts w:hint="eastAsia" w:ascii="仿宋_GB2312" w:eastAsia="仿宋_GB2312"/>
          <w:color w:val="auto"/>
          <w:spacing w:val="0"/>
          <w:sz w:val="32"/>
          <w:szCs w:val="32"/>
          <w:highlight w:val="none"/>
          <w:lang w:val="en-US" w:eastAsia="zh-CN"/>
        </w:rPr>
        <w:t>我单位无因公出国（境）费。</w:t>
      </w:r>
      <w:r>
        <w:rPr>
          <w:rFonts w:hint="eastAsia" w:ascii="仿宋_GB2312" w:eastAsia="仿宋_GB2312"/>
          <w:color w:val="auto"/>
          <w:spacing w:val="0"/>
          <w:sz w:val="32"/>
          <w:szCs w:val="32"/>
          <w:highlight w:val="none"/>
          <w:lang w:val="zh-CN" w:eastAsia="zh-CN"/>
        </w:rPr>
        <w:t>单位全年安排的因公出国（境）团组0个，因公出国（境）0人次。</w:t>
      </w:r>
    </w:p>
    <w:p w14:paraId="1C5A9CE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pacing w:val="0"/>
          <w:sz w:val="32"/>
          <w:szCs w:val="32"/>
          <w:highlight w:val="none"/>
          <w:lang w:val="en-US" w:eastAsia="zh-CN"/>
        </w:rPr>
        <w:t>我单位无公务用车购置及运行维护费。</w:t>
      </w:r>
      <w:r>
        <w:rPr>
          <w:rFonts w:hint="eastAsia" w:ascii="仿宋_GB2312" w:eastAsia="仿宋_GB2312"/>
          <w:color w:val="auto"/>
          <w:spacing w:val="0"/>
          <w:sz w:val="32"/>
          <w:szCs w:val="32"/>
          <w:highlight w:val="none"/>
          <w:lang w:val="zh-CN" w:eastAsia="zh-CN"/>
        </w:rPr>
        <w:t>公务用车购置数0辆，公务用车保有量0辆。国有资产占用情况</w:t>
      </w:r>
      <w:r>
        <w:rPr>
          <w:rFonts w:hint="eastAsia" w:ascii="仿宋_GB2312" w:eastAsia="仿宋_GB2312"/>
          <w:color w:val="auto"/>
          <w:spacing w:val="0"/>
          <w:sz w:val="32"/>
          <w:szCs w:val="32"/>
          <w:highlight w:val="none"/>
          <w:lang w:val="en-US" w:eastAsia="zh-CN"/>
        </w:rPr>
        <w:t>中固定资产车辆</w:t>
      </w:r>
      <w:r>
        <w:rPr>
          <w:rFonts w:hint="eastAsia" w:ascii="仿宋_GB2312" w:eastAsia="仿宋_GB2312"/>
          <w:color w:val="auto"/>
          <w:spacing w:val="0"/>
          <w:sz w:val="32"/>
          <w:szCs w:val="32"/>
          <w:highlight w:val="none"/>
          <w:lang w:val="zh-CN" w:eastAsia="zh-CN"/>
        </w:rPr>
        <w:t>16辆，</w:t>
      </w:r>
      <w:r>
        <w:rPr>
          <w:rFonts w:hint="eastAsia" w:ascii="仿宋_GB2312" w:eastAsia="仿宋_GB2312"/>
          <w:color w:val="auto"/>
          <w:spacing w:val="0"/>
          <w:sz w:val="32"/>
          <w:szCs w:val="32"/>
          <w:highlight w:val="none"/>
          <w:lang w:val="en-US" w:eastAsia="zh-CN"/>
        </w:rPr>
        <w:t>与</w:t>
      </w:r>
      <w:r>
        <w:rPr>
          <w:rFonts w:hint="eastAsia" w:ascii="仿宋_GB2312" w:eastAsia="仿宋_GB2312"/>
          <w:color w:val="auto"/>
          <w:spacing w:val="0"/>
          <w:sz w:val="32"/>
          <w:szCs w:val="32"/>
          <w:highlight w:val="none"/>
          <w:lang w:val="zh-CN" w:eastAsia="zh-CN"/>
        </w:rPr>
        <w:t>公务用车</w:t>
      </w:r>
      <w:r>
        <w:rPr>
          <w:rFonts w:hint="eastAsia" w:ascii="仿宋_GB2312" w:eastAsia="仿宋_GB2312"/>
          <w:color w:val="auto"/>
          <w:spacing w:val="0"/>
          <w:sz w:val="32"/>
          <w:szCs w:val="32"/>
          <w:highlight w:val="none"/>
          <w:lang w:val="en-US" w:eastAsia="zh-CN"/>
        </w:rPr>
        <w:t>保有量差异</w:t>
      </w:r>
      <w:r>
        <w:rPr>
          <w:rFonts w:hint="eastAsia" w:ascii="仿宋_GB2312" w:eastAsia="仿宋_GB2312"/>
          <w:color w:val="auto"/>
          <w:spacing w:val="0"/>
          <w:sz w:val="32"/>
          <w:szCs w:val="32"/>
          <w:highlight w:val="none"/>
          <w:lang w:val="zh-CN" w:eastAsia="zh-CN"/>
        </w:rPr>
        <w:t>原因是：我单位车辆为执法执勤用车和皮卡车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en-US" w:eastAsia="zh-CN"/>
        </w:rPr>
        <w:t>不属于公务用车，使用其他交通费，支付燃油及维修费</w:t>
      </w:r>
      <w:r>
        <w:rPr>
          <w:rFonts w:hint="eastAsia" w:ascii="仿宋_GB2312" w:eastAsia="仿宋_GB2312"/>
          <w:color w:val="auto"/>
          <w:spacing w:val="0"/>
          <w:sz w:val="32"/>
          <w:szCs w:val="32"/>
          <w:highlight w:val="none"/>
          <w:lang w:val="zh-CN" w:eastAsia="zh-CN"/>
        </w:rPr>
        <w:t>。</w:t>
      </w:r>
    </w:p>
    <w:p w14:paraId="06C3030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公务接待费0.00万元，开支内容包括：</w:t>
      </w:r>
      <w:r>
        <w:rPr>
          <w:rFonts w:hint="eastAsia" w:ascii="仿宋_GB2312" w:eastAsia="仿宋_GB2312"/>
          <w:color w:val="auto"/>
          <w:spacing w:val="0"/>
          <w:sz w:val="32"/>
          <w:szCs w:val="32"/>
          <w:highlight w:val="none"/>
          <w:lang w:val="en-US" w:eastAsia="zh-CN"/>
        </w:rPr>
        <w:t>我单位无公务接待费</w:t>
      </w:r>
      <w:r>
        <w:rPr>
          <w:rFonts w:hint="eastAsia" w:ascii="仿宋_GB2312" w:eastAsia="仿宋_GB2312"/>
          <w:color w:val="auto"/>
          <w:spacing w:val="0"/>
          <w:sz w:val="32"/>
          <w:szCs w:val="32"/>
          <w:highlight w:val="none"/>
          <w:lang w:val="zh-CN" w:eastAsia="zh-CN"/>
        </w:rPr>
        <w:t>。单位全年安排的国内公务接待0批次，0人次。</w:t>
      </w:r>
    </w:p>
    <w:p w14:paraId="435F0E8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与</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财政拨款“三公”经费支出</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我单位无财政拨款“三公”经费支出</w:t>
      </w:r>
      <w:r>
        <w:rPr>
          <w:rFonts w:hint="eastAsia" w:ascii="仿宋_GB2312" w:eastAsia="仿宋_GB2312"/>
          <w:color w:val="auto"/>
          <w:spacing w:val="0"/>
          <w:sz w:val="32"/>
          <w:szCs w:val="32"/>
          <w:highlight w:val="none"/>
          <w:lang w:val="zh-CN" w:eastAsia="zh-CN"/>
        </w:rPr>
        <w:t>。其中：因公出国（境）费</w:t>
      </w:r>
      <w:r>
        <w:rPr>
          <w:rFonts w:hint="eastAsia" w:ascii="仿宋_GB2312" w:eastAsia="仿宋_GB2312"/>
          <w:color w:val="auto"/>
          <w:spacing w:val="0"/>
          <w:sz w:val="32"/>
          <w:szCs w:val="32"/>
          <w:highlight w:val="none"/>
          <w:lang w:val="en-US" w:eastAsia="zh-CN"/>
        </w:rPr>
        <w:t>全年预算数</w:t>
      </w:r>
      <w:r>
        <w:rPr>
          <w:rFonts w:hint="eastAsia" w:ascii="仿宋_GB2312" w:eastAsia="仿宋_GB2312"/>
          <w:color w:val="auto"/>
          <w:spacing w:val="0"/>
          <w:sz w:val="32"/>
          <w:szCs w:val="32"/>
          <w:highlight w:val="none"/>
          <w:lang w:val="zh-CN" w:eastAsia="zh-CN"/>
        </w:rPr>
        <w:t>0.00万元，决算数0.00万元，预决算差异率0.00%，主要原因是：</w:t>
      </w:r>
      <w:r>
        <w:rPr>
          <w:rFonts w:hint="eastAsia" w:ascii="仿宋_GB2312" w:eastAsia="仿宋_GB2312"/>
          <w:color w:val="auto"/>
          <w:spacing w:val="0"/>
          <w:sz w:val="32"/>
          <w:szCs w:val="32"/>
          <w:highlight w:val="none"/>
          <w:lang w:val="en-US" w:eastAsia="zh-CN"/>
        </w:rPr>
        <w:t>我单位无因公出国（境）费</w:t>
      </w:r>
      <w:r>
        <w:rPr>
          <w:rFonts w:hint="eastAsia" w:ascii="仿宋_GB2312" w:eastAsia="仿宋_GB2312"/>
          <w:color w:val="auto"/>
          <w:spacing w:val="0"/>
          <w:sz w:val="32"/>
          <w:szCs w:val="32"/>
          <w:highlight w:val="none"/>
          <w:lang w:val="zh-CN" w:eastAsia="zh-CN"/>
        </w:rPr>
        <w:t>；公务用车购置费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我单位无公务用车购置费</w:t>
      </w:r>
      <w:r>
        <w:rPr>
          <w:rFonts w:hint="eastAsia" w:ascii="仿宋_GB2312" w:eastAsia="仿宋_GB2312"/>
          <w:color w:val="auto"/>
          <w:spacing w:val="0"/>
          <w:sz w:val="32"/>
          <w:szCs w:val="32"/>
          <w:highlight w:val="none"/>
          <w:lang w:val="zh-CN" w:eastAsia="zh-CN"/>
        </w:rPr>
        <w:t>；公务用车运行费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我单位无公务用车运行维护费</w:t>
      </w:r>
      <w:r>
        <w:rPr>
          <w:rFonts w:hint="eastAsia" w:ascii="仿宋_GB2312" w:eastAsia="仿宋_GB2312"/>
          <w:color w:val="auto"/>
          <w:spacing w:val="0"/>
          <w:sz w:val="32"/>
          <w:szCs w:val="32"/>
          <w:highlight w:val="none"/>
          <w:lang w:val="zh-CN" w:eastAsia="zh-CN"/>
        </w:rPr>
        <w:t>；公务接待费</w:t>
      </w:r>
      <w:r>
        <w:rPr>
          <w:rFonts w:hint="eastAsia" w:ascii="仿宋_GB2312" w:eastAsia="仿宋_GB2312"/>
          <w:color w:val="auto"/>
          <w:spacing w:val="0"/>
          <w:sz w:val="32"/>
          <w:szCs w:val="32"/>
          <w:highlight w:val="none"/>
          <w:lang w:val="en-US" w:eastAsia="zh-CN"/>
        </w:rPr>
        <w:t>全年</w:t>
      </w:r>
      <w:r>
        <w:rPr>
          <w:rFonts w:hint="eastAsia" w:ascii="仿宋_GB2312" w:eastAsia="仿宋_GB2312"/>
          <w:color w:val="auto"/>
          <w:spacing w:val="0"/>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val="en-US" w:eastAsia="zh-CN"/>
        </w:rPr>
        <w:t>我单位无公务接待费。</w:t>
      </w:r>
    </w:p>
    <w:p w14:paraId="3E58F3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B3BAF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C7B87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26365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D63273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24E0A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bookmarkStart w:id="24" w:name="_Toc26704"/>
      <w:bookmarkStart w:id="25" w:name="_Toc227"/>
    </w:p>
    <w:p w14:paraId="51376A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阿勒泰地区国土资源执法监察支队（行政单位和参照公务员法管理事业单位）机关运行经费支出50.99万元，比上年增加0.69万元，增长1.36%,主要原因是：本年度人员工资晋升，导致机关运行经费取数追加。</w:t>
      </w:r>
    </w:p>
    <w:p w14:paraId="049C21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B87B8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BD59B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47125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EB671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924.34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屋1070.44平方米，价值306.83万元。车辆16辆，价值337.09万元，其中：副部（省）级及以上领导用车0辆、主要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用车0辆、机要通信用车0辆、应急保障用车0辆、执法执勤用车9辆、特种专业技术用车0辆、离退休干部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用车0辆、其他用车7辆，其他用车主要是：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74A329A">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预算绩效的情况说明</w:t>
      </w:r>
      <w:bookmarkEnd w:id="28"/>
      <w:bookmarkEnd w:id="29"/>
    </w:p>
    <w:p w14:paraId="758908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根据预算绩效管理要求，</w:t>
      </w:r>
      <w:r>
        <w:rPr>
          <w:rFonts w:hint="eastAsia" w:ascii="仿宋_GB2312" w:eastAsia="仿宋_GB2312"/>
          <w:sz w:val="32"/>
          <w:szCs w:val="32"/>
          <w:highlight w:val="none"/>
          <w:lang w:eastAsia="zh-CN"/>
        </w:rPr>
        <w:t>我部门2023年度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Times New Roman" w:hAnsi="Times New Roman" w:eastAsia="仿宋_GB2312" w:cs="Times New Roman"/>
          <w:color w:val="auto"/>
          <w:sz w:val="32"/>
          <w:szCs w:val="32"/>
          <w:highlight w:val="none"/>
          <w:lang w:val="zh-CN" w:eastAsia="zh-CN"/>
        </w:rPr>
        <w:t xml:space="preserve"> 全年预算数 0.00 万元，全年执行数 0.00 万元。预算绩效管理取得的成效：我</w:t>
      </w:r>
      <w:r>
        <w:rPr>
          <w:rFonts w:hint="eastAsia" w:eastAsia="仿宋_GB2312" w:cs="Times New Roman"/>
          <w:color w:val="auto"/>
          <w:sz w:val="32"/>
          <w:szCs w:val="32"/>
          <w:highlight w:val="none"/>
          <w:lang w:val="zh-CN" w:eastAsia="zh-CN"/>
        </w:rPr>
        <w:t>部门</w:t>
      </w:r>
      <w:r>
        <w:rPr>
          <w:rFonts w:hint="eastAsia" w:ascii="Times New Roman" w:hAnsi="Times New Roman" w:eastAsia="仿宋_GB2312" w:cs="Times New Roman"/>
          <w:color w:val="auto"/>
          <w:sz w:val="32"/>
          <w:szCs w:val="32"/>
          <w:highlight w:val="none"/>
          <w:lang w:val="zh-CN" w:eastAsia="zh-CN"/>
        </w:rPr>
        <w:t>本年无绩效评价项目。发现的问题及原因：我</w:t>
      </w:r>
      <w:r>
        <w:rPr>
          <w:rFonts w:hint="eastAsia" w:eastAsia="仿宋_GB2312" w:cs="Times New Roman"/>
          <w:color w:val="auto"/>
          <w:sz w:val="32"/>
          <w:szCs w:val="32"/>
          <w:highlight w:val="none"/>
          <w:lang w:val="zh-CN" w:eastAsia="zh-CN"/>
        </w:rPr>
        <w:t>部门</w:t>
      </w:r>
      <w:r>
        <w:rPr>
          <w:rFonts w:hint="eastAsia" w:ascii="Times New Roman" w:hAnsi="Times New Roman" w:eastAsia="仿宋_GB2312" w:cs="Times New Roman"/>
          <w:color w:val="auto"/>
          <w:sz w:val="32"/>
          <w:szCs w:val="32"/>
          <w:highlight w:val="none"/>
          <w:lang w:val="zh-CN" w:eastAsia="zh-CN"/>
        </w:rPr>
        <w:t>本年无绩效评价项目。下一步改进措施：我</w:t>
      </w:r>
      <w:r>
        <w:rPr>
          <w:rFonts w:hint="eastAsia" w:eastAsia="仿宋_GB2312" w:cs="Times New Roman"/>
          <w:color w:val="auto"/>
          <w:sz w:val="32"/>
          <w:szCs w:val="32"/>
          <w:highlight w:val="none"/>
          <w:lang w:val="zh-CN" w:eastAsia="zh-CN"/>
        </w:rPr>
        <w:t>部门</w:t>
      </w:r>
      <w:bookmarkStart w:id="48" w:name="_GoBack"/>
      <w:bookmarkEnd w:id="48"/>
      <w:r>
        <w:rPr>
          <w:rFonts w:hint="eastAsia" w:ascii="Times New Roman" w:hAnsi="Times New Roman" w:eastAsia="仿宋_GB2312" w:cs="Times New Roman"/>
          <w:color w:val="auto"/>
          <w:sz w:val="32"/>
          <w:szCs w:val="32"/>
          <w:highlight w:val="none"/>
          <w:lang w:val="zh-CN" w:eastAsia="zh-CN"/>
        </w:rPr>
        <w:t>本年无绩效评价项目。</w:t>
      </w:r>
    </w:p>
    <w:p w14:paraId="19E303EB">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CE501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14:paraId="4C270F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50497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60750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A3E859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168D9B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3FFA9B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7DF058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AD803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AE8C77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C5D26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620953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F9815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8A2CBF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ED07C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DFFA199">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34F028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52F3C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6574F7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48B05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B89CF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52A472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4F075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639DD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1D5B23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DF383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6D022D2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EA214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9393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CEED0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5CEED0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167E47D4"/>
    <w:multiLevelType w:val="singleLevel"/>
    <w:tmpl w:val="167E47D4"/>
    <w:lvl w:ilvl="0" w:tentative="0">
      <w:start w:val="1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3D252F"/>
    <w:rsid w:val="00B70D59"/>
    <w:rsid w:val="00F52A8D"/>
    <w:rsid w:val="019404F8"/>
    <w:rsid w:val="029139DB"/>
    <w:rsid w:val="02BD3108"/>
    <w:rsid w:val="02F73D26"/>
    <w:rsid w:val="034D4FEF"/>
    <w:rsid w:val="035D1785"/>
    <w:rsid w:val="036C1DAE"/>
    <w:rsid w:val="039F47CE"/>
    <w:rsid w:val="03E05CE8"/>
    <w:rsid w:val="03F973EE"/>
    <w:rsid w:val="043E5B56"/>
    <w:rsid w:val="04C04386"/>
    <w:rsid w:val="04FA68C4"/>
    <w:rsid w:val="053F5AE6"/>
    <w:rsid w:val="057C0B0F"/>
    <w:rsid w:val="05EB3658"/>
    <w:rsid w:val="05EF4B48"/>
    <w:rsid w:val="05F76ECA"/>
    <w:rsid w:val="06112117"/>
    <w:rsid w:val="06792773"/>
    <w:rsid w:val="07093795"/>
    <w:rsid w:val="07330B1F"/>
    <w:rsid w:val="073E733E"/>
    <w:rsid w:val="07804730"/>
    <w:rsid w:val="079052BE"/>
    <w:rsid w:val="08145C21"/>
    <w:rsid w:val="08422688"/>
    <w:rsid w:val="085854ED"/>
    <w:rsid w:val="0879188F"/>
    <w:rsid w:val="089A1160"/>
    <w:rsid w:val="08A0354D"/>
    <w:rsid w:val="08CD4C49"/>
    <w:rsid w:val="09114954"/>
    <w:rsid w:val="095A5B83"/>
    <w:rsid w:val="096466E3"/>
    <w:rsid w:val="0968304D"/>
    <w:rsid w:val="09AF3D17"/>
    <w:rsid w:val="0A7809B7"/>
    <w:rsid w:val="0A7B4867"/>
    <w:rsid w:val="0A840954"/>
    <w:rsid w:val="0A9928ED"/>
    <w:rsid w:val="0ACA0C2E"/>
    <w:rsid w:val="0B5F3D2C"/>
    <w:rsid w:val="0B61769D"/>
    <w:rsid w:val="0B8C3ECC"/>
    <w:rsid w:val="0B9C639D"/>
    <w:rsid w:val="0BB052B2"/>
    <w:rsid w:val="0BC41477"/>
    <w:rsid w:val="0BD33FFC"/>
    <w:rsid w:val="0BE97AC1"/>
    <w:rsid w:val="0C1C4780"/>
    <w:rsid w:val="0C3613A3"/>
    <w:rsid w:val="0C5E519C"/>
    <w:rsid w:val="0C7227A7"/>
    <w:rsid w:val="0CA15669"/>
    <w:rsid w:val="0CA52EE8"/>
    <w:rsid w:val="0CBD6988"/>
    <w:rsid w:val="0CD208AC"/>
    <w:rsid w:val="0D4903E8"/>
    <w:rsid w:val="0D7A4A46"/>
    <w:rsid w:val="0E6205BF"/>
    <w:rsid w:val="0E640559"/>
    <w:rsid w:val="0F1113DA"/>
    <w:rsid w:val="0F78534A"/>
    <w:rsid w:val="0F89358A"/>
    <w:rsid w:val="0F8C6D51"/>
    <w:rsid w:val="105B0B5E"/>
    <w:rsid w:val="109928B8"/>
    <w:rsid w:val="112E58D0"/>
    <w:rsid w:val="1154735C"/>
    <w:rsid w:val="11731CAC"/>
    <w:rsid w:val="119500A0"/>
    <w:rsid w:val="11C0733B"/>
    <w:rsid w:val="11D50D17"/>
    <w:rsid w:val="11DA3C43"/>
    <w:rsid w:val="120E0809"/>
    <w:rsid w:val="127F665A"/>
    <w:rsid w:val="12F7068C"/>
    <w:rsid w:val="14207DC0"/>
    <w:rsid w:val="14B932DA"/>
    <w:rsid w:val="14C97064"/>
    <w:rsid w:val="14FB2C15"/>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8C5400"/>
    <w:rsid w:val="190648B0"/>
    <w:rsid w:val="19071D6C"/>
    <w:rsid w:val="19D26CD4"/>
    <w:rsid w:val="19E60D19"/>
    <w:rsid w:val="1A3E3450"/>
    <w:rsid w:val="1AD807E5"/>
    <w:rsid w:val="1B39345B"/>
    <w:rsid w:val="1B6706BA"/>
    <w:rsid w:val="1BA86C22"/>
    <w:rsid w:val="1BFB2A1F"/>
    <w:rsid w:val="1C015D4A"/>
    <w:rsid w:val="1C290ED5"/>
    <w:rsid w:val="1C317E4F"/>
    <w:rsid w:val="1C472464"/>
    <w:rsid w:val="1D22799A"/>
    <w:rsid w:val="1D5C1A72"/>
    <w:rsid w:val="1DAF458D"/>
    <w:rsid w:val="1E086ACE"/>
    <w:rsid w:val="1E62130A"/>
    <w:rsid w:val="1E97358B"/>
    <w:rsid w:val="1EAA4A5F"/>
    <w:rsid w:val="1EC57AEB"/>
    <w:rsid w:val="1EE869A7"/>
    <w:rsid w:val="1F755A13"/>
    <w:rsid w:val="1FA15E62"/>
    <w:rsid w:val="1FED69B6"/>
    <w:rsid w:val="2064678E"/>
    <w:rsid w:val="20C2105F"/>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7F154AD"/>
    <w:rsid w:val="282459E2"/>
    <w:rsid w:val="283A7FE5"/>
    <w:rsid w:val="285F51BD"/>
    <w:rsid w:val="285F51FF"/>
    <w:rsid w:val="28CE6296"/>
    <w:rsid w:val="28DF2665"/>
    <w:rsid w:val="29072599"/>
    <w:rsid w:val="291029F3"/>
    <w:rsid w:val="29447308"/>
    <w:rsid w:val="29CB58F0"/>
    <w:rsid w:val="2A053397"/>
    <w:rsid w:val="2A145E96"/>
    <w:rsid w:val="2AF5378F"/>
    <w:rsid w:val="2B585F6F"/>
    <w:rsid w:val="2BB94DBF"/>
    <w:rsid w:val="2C6F314E"/>
    <w:rsid w:val="2CC206BE"/>
    <w:rsid w:val="2D1136DF"/>
    <w:rsid w:val="2D20606D"/>
    <w:rsid w:val="2DB87198"/>
    <w:rsid w:val="2DB93C54"/>
    <w:rsid w:val="2E3D144C"/>
    <w:rsid w:val="2E891204"/>
    <w:rsid w:val="2F3F0A28"/>
    <w:rsid w:val="2FBF7029"/>
    <w:rsid w:val="2FCC5A71"/>
    <w:rsid w:val="2FD0187F"/>
    <w:rsid w:val="2FD27414"/>
    <w:rsid w:val="2FFE4BB0"/>
    <w:rsid w:val="300E7B60"/>
    <w:rsid w:val="300F6E18"/>
    <w:rsid w:val="301917A7"/>
    <w:rsid w:val="30862F5F"/>
    <w:rsid w:val="314029C9"/>
    <w:rsid w:val="31C63837"/>
    <w:rsid w:val="31C82E39"/>
    <w:rsid w:val="32601BAD"/>
    <w:rsid w:val="329F6389"/>
    <w:rsid w:val="3389023A"/>
    <w:rsid w:val="339715FE"/>
    <w:rsid w:val="33CB74FA"/>
    <w:rsid w:val="33D83D04"/>
    <w:rsid w:val="343642F2"/>
    <w:rsid w:val="343F3010"/>
    <w:rsid w:val="345D0A00"/>
    <w:rsid w:val="34713BFD"/>
    <w:rsid w:val="34C13589"/>
    <w:rsid w:val="353369E3"/>
    <w:rsid w:val="35610D9B"/>
    <w:rsid w:val="35E00D72"/>
    <w:rsid w:val="36965B9D"/>
    <w:rsid w:val="36C549FD"/>
    <w:rsid w:val="37A755DD"/>
    <w:rsid w:val="37F94FA0"/>
    <w:rsid w:val="380D3381"/>
    <w:rsid w:val="38115B1F"/>
    <w:rsid w:val="385E3AC3"/>
    <w:rsid w:val="387D6B9E"/>
    <w:rsid w:val="38B75FF0"/>
    <w:rsid w:val="38D45016"/>
    <w:rsid w:val="38D90432"/>
    <w:rsid w:val="38E26DA6"/>
    <w:rsid w:val="3914510A"/>
    <w:rsid w:val="3926770B"/>
    <w:rsid w:val="39335925"/>
    <w:rsid w:val="398D3668"/>
    <w:rsid w:val="39A6259B"/>
    <w:rsid w:val="39A95BE7"/>
    <w:rsid w:val="39CA2D1C"/>
    <w:rsid w:val="39D6620E"/>
    <w:rsid w:val="39DA0497"/>
    <w:rsid w:val="3A893816"/>
    <w:rsid w:val="3A893B6D"/>
    <w:rsid w:val="3AD1763A"/>
    <w:rsid w:val="3B6716E3"/>
    <w:rsid w:val="3B6C6B2D"/>
    <w:rsid w:val="3C242659"/>
    <w:rsid w:val="3C96719C"/>
    <w:rsid w:val="3CA72BE8"/>
    <w:rsid w:val="3CEA6C43"/>
    <w:rsid w:val="3CF37F8C"/>
    <w:rsid w:val="3D137554"/>
    <w:rsid w:val="3D5275AC"/>
    <w:rsid w:val="3DCC2473"/>
    <w:rsid w:val="3DCC6348"/>
    <w:rsid w:val="3DEB0883"/>
    <w:rsid w:val="3DFE0FBD"/>
    <w:rsid w:val="3E2527BF"/>
    <w:rsid w:val="3E731662"/>
    <w:rsid w:val="3E815385"/>
    <w:rsid w:val="3E8168DD"/>
    <w:rsid w:val="3EA7725F"/>
    <w:rsid w:val="3EB03713"/>
    <w:rsid w:val="3EBF1A11"/>
    <w:rsid w:val="3EC52607"/>
    <w:rsid w:val="3EEC6CEF"/>
    <w:rsid w:val="3EED47C8"/>
    <w:rsid w:val="3F183429"/>
    <w:rsid w:val="3FB77A1D"/>
    <w:rsid w:val="3FDC3674"/>
    <w:rsid w:val="3FED7F8A"/>
    <w:rsid w:val="40094AEF"/>
    <w:rsid w:val="405470BD"/>
    <w:rsid w:val="40794A29"/>
    <w:rsid w:val="40834692"/>
    <w:rsid w:val="41431AD5"/>
    <w:rsid w:val="414B3C0F"/>
    <w:rsid w:val="417714CA"/>
    <w:rsid w:val="417C1CE7"/>
    <w:rsid w:val="41900018"/>
    <w:rsid w:val="41944406"/>
    <w:rsid w:val="41CE128F"/>
    <w:rsid w:val="41DA6F12"/>
    <w:rsid w:val="42171FB1"/>
    <w:rsid w:val="42A41F47"/>
    <w:rsid w:val="434E6957"/>
    <w:rsid w:val="43BA0E31"/>
    <w:rsid w:val="43C15147"/>
    <w:rsid w:val="43E14DD2"/>
    <w:rsid w:val="43F800E9"/>
    <w:rsid w:val="443A7E4B"/>
    <w:rsid w:val="452F5B3A"/>
    <w:rsid w:val="454E7FD2"/>
    <w:rsid w:val="45F3589C"/>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8FC4E13"/>
    <w:rsid w:val="493D58B5"/>
    <w:rsid w:val="494A7A04"/>
    <w:rsid w:val="499537F9"/>
    <w:rsid w:val="4A0A26D2"/>
    <w:rsid w:val="4A2019A5"/>
    <w:rsid w:val="4A241A0B"/>
    <w:rsid w:val="4A7B2875"/>
    <w:rsid w:val="4A934476"/>
    <w:rsid w:val="4AAA220A"/>
    <w:rsid w:val="4AE12E67"/>
    <w:rsid w:val="4B4C0111"/>
    <w:rsid w:val="4B8553A9"/>
    <w:rsid w:val="4BDB3730"/>
    <w:rsid w:val="4C200F7A"/>
    <w:rsid w:val="4CEE3180"/>
    <w:rsid w:val="4D0F4AF6"/>
    <w:rsid w:val="4D810EFD"/>
    <w:rsid w:val="4DC83307"/>
    <w:rsid w:val="4DF94F37"/>
    <w:rsid w:val="4E0A1DD5"/>
    <w:rsid w:val="4E3160E5"/>
    <w:rsid w:val="4E4D37AF"/>
    <w:rsid w:val="4E8C6496"/>
    <w:rsid w:val="4EFD18DE"/>
    <w:rsid w:val="4F144236"/>
    <w:rsid w:val="4F663C87"/>
    <w:rsid w:val="4F7E29A8"/>
    <w:rsid w:val="4F9E1FFC"/>
    <w:rsid w:val="4FE81846"/>
    <w:rsid w:val="50447CC2"/>
    <w:rsid w:val="50574197"/>
    <w:rsid w:val="50874A7C"/>
    <w:rsid w:val="50895EE7"/>
    <w:rsid w:val="50921B9D"/>
    <w:rsid w:val="50A97291"/>
    <w:rsid w:val="50D16158"/>
    <w:rsid w:val="50DB5F45"/>
    <w:rsid w:val="51025EB1"/>
    <w:rsid w:val="51141503"/>
    <w:rsid w:val="518D0ED5"/>
    <w:rsid w:val="525C687F"/>
    <w:rsid w:val="52F647F7"/>
    <w:rsid w:val="52F92565"/>
    <w:rsid w:val="53702921"/>
    <w:rsid w:val="53D03877"/>
    <w:rsid w:val="542F73CA"/>
    <w:rsid w:val="5430786D"/>
    <w:rsid w:val="54A82C5B"/>
    <w:rsid w:val="54C811C0"/>
    <w:rsid w:val="556A442D"/>
    <w:rsid w:val="55DA564E"/>
    <w:rsid w:val="5604127D"/>
    <w:rsid w:val="56166703"/>
    <w:rsid w:val="56430BF0"/>
    <w:rsid w:val="56510474"/>
    <w:rsid w:val="56861525"/>
    <w:rsid w:val="56A93273"/>
    <w:rsid w:val="56BD550C"/>
    <w:rsid w:val="56E07045"/>
    <w:rsid w:val="56FF28AF"/>
    <w:rsid w:val="57540E7D"/>
    <w:rsid w:val="577B4878"/>
    <w:rsid w:val="57926973"/>
    <w:rsid w:val="58175352"/>
    <w:rsid w:val="581F2200"/>
    <w:rsid w:val="582F2582"/>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177DD0"/>
    <w:rsid w:val="5D3D49C1"/>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8D5CF6"/>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501015"/>
    <w:rsid w:val="669B4528"/>
    <w:rsid w:val="66CC12D7"/>
    <w:rsid w:val="67134CEF"/>
    <w:rsid w:val="671F1ABD"/>
    <w:rsid w:val="67521A59"/>
    <w:rsid w:val="67C304AB"/>
    <w:rsid w:val="683F0658"/>
    <w:rsid w:val="687F0831"/>
    <w:rsid w:val="689C6793"/>
    <w:rsid w:val="68DB0208"/>
    <w:rsid w:val="68FB170C"/>
    <w:rsid w:val="691B3D98"/>
    <w:rsid w:val="693748F0"/>
    <w:rsid w:val="69846A0E"/>
    <w:rsid w:val="69933E62"/>
    <w:rsid w:val="69AD798C"/>
    <w:rsid w:val="69D005C0"/>
    <w:rsid w:val="69D80B96"/>
    <w:rsid w:val="6AF04982"/>
    <w:rsid w:val="6B286A04"/>
    <w:rsid w:val="6B68175F"/>
    <w:rsid w:val="6BD90EEB"/>
    <w:rsid w:val="6BFD799F"/>
    <w:rsid w:val="6C2B67AC"/>
    <w:rsid w:val="6C4A2E5A"/>
    <w:rsid w:val="6C8138D0"/>
    <w:rsid w:val="6CEF0725"/>
    <w:rsid w:val="6D4B2604"/>
    <w:rsid w:val="6D8030E4"/>
    <w:rsid w:val="6E0E35C4"/>
    <w:rsid w:val="6E0F7A08"/>
    <w:rsid w:val="6E3947F5"/>
    <w:rsid w:val="6E9C74ED"/>
    <w:rsid w:val="6EF72976"/>
    <w:rsid w:val="6F4B0F13"/>
    <w:rsid w:val="6F795A80"/>
    <w:rsid w:val="6F7C1D2E"/>
    <w:rsid w:val="6F7E0543"/>
    <w:rsid w:val="6F8E0407"/>
    <w:rsid w:val="6FC13874"/>
    <w:rsid w:val="6FDD069F"/>
    <w:rsid w:val="702B4D16"/>
    <w:rsid w:val="70AA6621"/>
    <w:rsid w:val="7111480F"/>
    <w:rsid w:val="71261F49"/>
    <w:rsid w:val="712E6956"/>
    <w:rsid w:val="71473612"/>
    <w:rsid w:val="71504F32"/>
    <w:rsid w:val="7152309F"/>
    <w:rsid w:val="718F7F65"/>
    <w:rsid w:val="727B234E"/>
    <w:rsid w:val="72CA7B47"/>
    <w:rsid w:val="72D068C7"/>
    <w:rsid w:val="72E135D6"/>
    <w:rsid w:val="72E42ED8"/>
    <w:rsid w:val="735F4CB9"/>
    <w:rsid w:val="73674C62"/>
    <w:rsid w:val="73845865"/>
    <w:rsid w:val="739B6D9E"/>
    <w:rsid w:val="73BC1D76"/>
    <w:rsid w:val="73FB6630"/>
    <w:rsid w:val="748D790E"/>
    <w:rsid w:val="749820CC"/>
    <w:rsid w:val="74CE04EC"/>
    <w:rsid w:val="74E76DCD"/>
    <w:rsid w:val="751D7C0A"/>
    <w:rsid w:val="75722D56"/>
    <w:rsid w:val="758D193E"/>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D85059"/>
    <w:rsid w:val="79F00650"/>
    <w:rsid w:val="7A6242BF"/>
    <w:rsid w:val="7A794513"/>
    <w:rsid w:val="7AE952D2"/>
    <w:rsid w:val="7C280612"/>
    <w:rsid w:val="7C976D69"/>
    <w:rsid w:val="7CD752DA"/>
    <w:rsid w:val="7CDE40AB"/>
    <w:rsid w:val="7CF057E2"/>
    <w:rsid w:val="7D1548B5"/>
    <w:rsid w:val="7D742C1C"/>
    <w:rsid w:val="7DF84014"/>
    <w:rsid w:val="7E17093E"/>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5979</Words>
  <Characters>6650</Characters>
  <Lines>0</Lines>
  <Paragraphs>0</Paragraphs>
  <TotalTime>0</TotalTime>
  <ScaleCrop>false</ScaleCrop>
  <LinksUpToDate>false</LinksUpToDate>
  <CharactersWithSpaces>6681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2024-09-02T02:49:35Z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