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CA2431">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3E518DD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0C31136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富蕴县国土资源执法监察大队</w:t>
      </w:r>
    </w:p>
    <w:p w14:paraId="1476F96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74D168B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78D2447C">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68A7987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3F6BCAA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0601B5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0B315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09AEFE9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4647B85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0049D43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119AC1E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2226466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EAE18A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46240BE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87D440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0FF0B4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62651343">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3FB7709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F09CD1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18B07AB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1005DC2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4660437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2C92454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33B0E242">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07F4631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0646359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1F8256D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779F59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643169E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0D56BB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1D44694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3ED473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74631C4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5745B32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2A713B98">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146BBAA">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6F93C4B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096841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437108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富蕴县国土资源执法监察大队，为副科级垂直管理单位，履行富蕴县国土资源执法监察职能，是参照国家公务员法管理的事业单位。</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2、组织和实施对富蕴县执行土地、矿产资源法律、法规、规章情况的巡查，及时发现和制止土地、矿产资源违法行为。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3、依法组织和实施富蕴县重大土地、矿产资源违法案件的调查、取证、现场勘验工作，并进行查处。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4、完成上级管理部门交办的其他工作</w:t>
      </w:r>
      <w:r>
        <w:rPr>
          <w:rFonts w:hint="eastAsia" w:ascii="仿宋_GB2312" w:eastAsia="仿宋_GB2312"/>
          <w:sz w:val="32"/>
          <w:szCs w:val="32"/>
        </w:rPr>
        <w:t>。</w:t>
      </w:r>
    </w:p>
    <w:p w14:paraId="479555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36E0564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富蕴县国土资源执法监察大队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p>
    <w:p w14:paraId="688FBFEE">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b/>
          <w:bCs/>
          <w:color w:val="auto"/>
          <w:sz w:val="32"/>
          <w:szCs w:val="32"/>
          <w:highlight w:val="none"/>
          <w:lang w:val="en-US" w:eastAsia="zh-CN"/>
        </w:rPr>
        <w:t xml:space="preserve"> </w:t>
      </w: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kern w:val="0"/>
          <w:sz w:val="32"/>
          <w:szCs w:val="32"/>
        </w:rPr>
        <w:t>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color w:val="auto"/>
          <w:kern w:val="0"/>
          <w:sz w:val="32"/>
          <w:szCs w:val="32"/>
          <w:highlight w:val="none"/>
        </w:rPr>
        <w:t>。</w:t>
      </w:r>
    </w:p>
    <w:p w14:paraId="1C1E0D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1D12F4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3FCABE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115.62万元，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115.31万元，使用非财政拨款结余0.00万元，年初结转和结余0.31万元。</w:t>
      </w:r>
    </w:p>
    <w:p w14:paraId="2B190E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115.62万元，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115.30万元，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0.00万元，年末结转和结余0.32万元。</w:t>
      </w:r>
    </w:p>
    <w:p w14:paraId="2FAEFC0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减少20.96万元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下降15.35%</w:t>
      </w:r>
      <w:r>
        <w:rPr>
          <w:rFonts w:hint="eastAsia" w:ascii="仿宋_GB2312" w:eastAsia="仿宋_GB2312"/>
          <w:color w:val="auto"/>
          <w:spacing w:val="0"/>
          <w:sz w:val="32"/>
          <w:szCs w:val="32"/>
          <w:highlight w:val="none"/>
          <w:lang w:eastAsia="zh-CN"/>
        </w:rPr>
        <w:t>，主要原因是：一是</w:t>
      </w:r>
      <w:r>
        <w:rPr>
          <w:rFonts w:hint="eastAsia" w:ascii="仿宋_GB2312" w:eastAsia="仿宋_GB2312"/>
          <w:color w:val="auto"/>
          <w:spacing w:val="0"/>
          <w:sz w:val="32"/>
          <w:szCs w:val="32"/>
          <w:highlight w:val="none"/>
          <w:lang w:val="en-US" w:eastAsia="zh-CN"/>
        </w:rPr>
        <w:t>2022年末调出1人，导致2023年预算支出数减少</w:t>
      </w:r>
      <w:r>
        <w:rPr>
          <w:rFonts w:hint="eastAsia" w:ascii="仿宋_GB2312" w:eastAsia="仿宋_GB2312"/>
          <w:color w:val="auto"/>
          <w:spacing w:val="0"/>
          <w:sz w:val="32"/>
          <w:szCs w:val="32"/>
          <w:highlight w:val="none"/>
          <w:lang w:eastAsia="zh-CN"/>
        </w:rPr>
        <w:t>。二是</w:t>
      </w:r>
      <w:r>
        <w:rPr>
          <w:rFonts w:hint="eastAsia" w:eastAsia="仿宋_GB2312" w:cs="Times New Roman"/>
          <w:color w:val="auto"/>
          <w:kern w:val="2"/>
          <w:sz w:val="32"/>
          <w:szCs w:val="32"/>
          <w:highlight w:val="none"/>
          <w:lang w:val="zh-CN" w:eastAsia="zh-CN" w:bidi="ar-SA"/>
        </w:rPr>
        <w:t>根据新财社【</w:t>
      </w:r>
      <w:r>
        <w:rPr>
          <w:rFonts w:hint="eastAsia" w:eastAsia="仿宋_GB2312" w:cs="Times New Roman"/>
          <w:color w:val="auto"/>
          <w:kern w:val="2"/>
          <w:sz w:val="32"/>
          <w:szCs w:val="32"/>
          <w:highlight w:val="none"/>
          <w:lang w:val="en-US" w:eastAsia="zh-CN" w:bidi="ar-SA"/>
        </w:rPr>
        <w:t>2023</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168号文件，当地医保局对退休人员的医疗补助缴费退回缴纳单位，并由缴费单位退回至自治区财政。以上导致</w:t>
      </w:r>
      <w:r>
        <w:rPr>
          <w:rFonts w:hint="eastAsia" w:ascii="仿宋_GB2312" w:eastAsia="仿宋_GB2312"/>
          <w:color w:val="auto"/>
          <w:spacing w:val="0"/>
          <w:sz w:val="32"/>
          <w:szCs w:val="32"/>
          <w:highlight w:val="none"/>
          <w:lang w:val="en-US" w:eastAsia="zh-CN"/>
        </w:rPr>
        <w:t>收入支出总体比上年减少。</w:t>
      </w:r>
    </w:p>
    <w:p w14:paraId="66CB41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0497CD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115.31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115.30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793923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4C8F36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本年支出115.30万元，其中：基本支出86.30万元，占74.85%；项目支出29.00万元，占25.15%；上缴上级支出0.00万元，占0.00%；经营支出0.00万元，占0.00%；对附属单位补助支出0.00万元，占0.00%。</w:t>
      </w:r>
    </w:p>
    <w:p w14:paraId="4205780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66E0EA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115.47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0.16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115.30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115.47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0.16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115.30</w:t>
      </w:r>
      <w:r>
        <w:rPr>
          <w:rFonts w:hint="eastAsia" w:ascii="仿宋_GB2312" w:eastAsia="仿宋_GB2312"/>
          <w:color w:val="auto"/>
          <w:spacing w:val="0"/>
          <w:sz w:val="32"/>
          <w:szCs w:val="32"/>
          <w:highlight w:val="none"/>
          <w:lang w:eastAsia="zh-CN"/>
        </w:rPr>
        <w:t>万元。</w:t>
      </w:r>
    </w:p>
    <w:p w14:paraId="659AA8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减少20.97万元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下降15.37%，</w:t>
      </w:r>
      <w:r>
        <w:rPr>
          <w:rFonts w:hint="eastAsia" w:ascii="仿宋_GB2312" w:eastAsia="仿宋_GB2312"/>
          <w:color w:val="auto"/>
          <w:spacing w:val="0"/>
          <w:sz w:val="32"/>
          <w:szCs w:val="32"/>
          <w:highlight w:val="none"/>
          <w:lang w:eastAsia="zh-CN"/>
        </w:rPr>
        <w:t>主要原因是：一是</w:t>
      </w:r>
      <w:r>
        <w:rPr>
          <w:rFonts w:hint="eastAsia" w:ascii="仿宋_GB2312" w:eastAsia="仿宋_GB2312"/>
          <w:color w:val="auto"/>
          <w:spacing w:val="0"/>
          <w:sz w:val="32"/>
          <w:szCs w:val="32"/>
          <w:highlight w:val="none"/>
          <w:lang w:val="en-US" w:eastAsia="zh-CN"/>
        </w:rPr>
        <w:t>2022年末调出1人，导致2023年预算支出数减少</w:t>
      </w:r>
      <w:r>
        <w:rPr>
          <w:rFonts w:hint="eastAsia" w:ascii="仿宋_GB2312" w:eastAsia="仿宋_GB2312"/>
          <w:color w:val="auto"/>
          <w:spacing w:val="0"/>
          <w:sz w:val="32"/>
          <w:szCs w:val="32"/>
          <w:highlight w:val="none"/>
          <w:lang w:eastAsia="zh-CN"/>
        </w:rPr>
        <w:t>。二是</w:t>
      </w:r>
      <w:r>
        <w:rPr>
          <w:rFonts w:hint="eastAsia" w:eastAsia="仿宋_GB2312" w:cs="Times New Roman"/>
          <w:color w:val="auto"/>
          <w:kern w:val="2"/>
          <w:sz w:val="32"/>
          <w:szCs w:val="32"/>
          <w:highlight w:val="none"/>
          <w:lang w:val="zh-CN" w:eastAsia="zh-CN" w:bidi="ar-SA"/>
        </w:rPr>
        <w:t>根据新财社【</w:t>
      </w:r>
      <w:r>
        <w:rPr>
          <w:rFonts w:hint="eastAsia" w:eastAsia="仿宋_GB2312" w:cs="Times New Roman"/>
          <w:color w:val="auto"/>
          <w:kern w:val="2"/>
          <w:sz w:val="32"/>
          <w:szCs w:val="32"/>
          <w:highlight w:val="none"/>
          <w:lang w:val="en-US" w:eastAsia="zh-CN" w:bidi="ar-SA"/>
        </w:rPr>
        <w:t>2023</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168号文件，当地医保局对退休人员的医疗补助缴费退回缴纳单位，并由缴费单位退回至自治区财政。以上导致</w:t>
      </w:r>
      <w:r>
        <w:rPr>
          <w:rFonts w:hint="eastAsia" w:ascii="仿宋_GB2312" w:eastAsia="仿宋_GB2312"/>
          <w:color w:val="auto"/>
          <w:spacing w:val="0"/>
          <w:sz w:val="32"/>
          <w:szCs w:val="32"/>
          <w:highlight w:val="none"/>
          <w:lang w:eastAsia="zh-CN"/>
        </w:rPr>
        <w:t>财政拨款</w:t>
      </w:r>
      <w:r>
        <w:rPr>
          <w:rFonts w:hint="eastAsia" w:ascii="仿宋_GB2312" w:eastAsia="仿宋_GB2312"/>
          <w:color w:val="auto"/>
          <w:spacing w:val="0"/>
          <w:sz w:val="32"/>
          <w:szCs w:val="32"/>
          <w:highlight w:val="none"/>
          <w:lang w:val="en-US" w:eastAsia="zh-CN"/>
        </w:rPr>
        <w:t>收入支出总体比上年减少。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109.91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115.47</w:t>
      </w:r>
      <w:r>
        <w:rPr>
          <w:rFonts w:hint="eastAsia" w:ascii="仿宋_GB2312" w:eastAsia="仿宋_GB2312"/>
          <w:color w:val="auto"/>
          <w:spacing w:val="0"/>
          <w:sz w:val="32"/>
          <w:szCs w:val="32"/>
          <w:highlight w:val="none"/>
          <w:lang w:eastAsia="zh-CN"/>
        </w:rPr>
        <w:t>万元，预决算差异率5.06%，主要原因是：</w:t>
      </w:r>
      <w:r>
        <w:rPr>
          <w:rFonts w:hint="eastAsia" w:ascii="仿宋_GB2312" w:eastAsia="仿宋_GB2312"/>
          <w:color w:val="auto"/>
          <w:sz w:val="32"/>
          <w:szCs w:val="32"/>
          <w:highlight w:val="none"/>
          <w:lang w:val="zh-CN" w:eastAsia="zh-CN"/>
        </w:rPr>
        <w:t>根据考核结果追加在职、退休人员年终绩效考核奖金</w:t>
      </w:r>
      <w:r>
        <w:rPr>
          <w:rFonts w:hint="eastAsia" w:ascii="仿宋_GB2312" w:eastAsia="仿宋_GB2312"/>
          <w:color w:val="auto"/>
          <w:spacing w:val="0"/>
          <w:sz w:val="32"/>
          <w:szCs w:val="32"/>
          <w:highlight w:val="none"/>
          <w:lang w:eastAsia="zh-CN"/>
        </w:rPr>
        <w:t>。</w:t>
      </w:r>
    </w:p>
    <w:p w14:paraId="69C5E5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75240B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7AEBB8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2023年度一般公共预算财政拨款支出115.30万元，占本年支出合计的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减少20.97万元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下降15.39%，</w:t>
      </w:r>
      <w:r>
        <w:rPr>
          <w:rFonts w:hint="eastAsia" w:ascii="仿宋_GB2312" w:eastAsia="仿宋_GB2312"/>
          <w:color w:val="auto"/>
          <w:spacing w:val="0"/>
          <w:sz w:val="32"/>
          <w:szCs w:val="32"/>
          <w:highlight w:val="none"/>
          <w:lang w:eastAsia="zh-CN"/>
        </w:rPr>
        <w:t>主要原因是：一是</w:t>
      </w:r>
      <w:r>
        <w:rPr>
          <w:rFonts w:hint="eastAsia" w:ascii="仿宋_GB2312" w:eastAsia="仿宋_GB2312"/>
          <w:color w:val="auto"/>
          <w:spacing w:val="0"/>
          <w:sz w:val="32"/>
          <w:szCs w:val="32"/>
          <w:highlight w:val="none"/>
          <w:lang w:val="en-US" w:eastAsia="zh-CN"/>
        </w:rPr>
        <w:t>2022年末调出1人，导致2023年预算支出数减少</w:t>
      </w:r>
      <w:r>
        <w:rPr>
          <w:rFonts w:hint="eastAsia" w:ascii="仿宋_GB2312" w:eastAsia="仿宋_GB2312"/>
          <w:color w:val="auto"/>
          <w:spacing w:val="0"/>
          <w:sz w:val="32"/>
          <w:szCs w:val="32"/>
          <w:highlight w:val="none"/>
          <w:lang w:eastAsia="zh-CN"/>
        </w:rPr>
        <w:t>。二是</w:t>
      </w:r>
      <w:r>
        <w:rPr>
          <w:rFonts w:hint="eastAsia" w:eastAsia="仿宋_GB2312" w:cs="Times New Roman"/>
          <w:color w:val="auto"/>
          <w:kern w:val="2"/>
          <w:sz w:val="32"/>
          <w:szCs w:val="32"/>
          <w:highlight w:val="none"/>
          <w:lang w:val="zh-CN" w:eastAsia="zh-CN" w:bidi="ar-SA"/>
        </w:rPr>
        <w:t>根据新财社【</w:t>
      </w:r>
      <w:r>
        <w:rPr>
          <w:rFonts w:hint="eastAsia" w:eastAsia="仿宋_GB2312" w:cs="Times New Roman"/>
          <w:color w:val="auto"/>
          <w:kern w:val="2"/>
          <w:sz w:val="32"/>
          <w:szCs w:val="32"/>
          <w:highlight w:val="none"/>
          <w:lang w:val="en-US" w:eastAsia="zh-CN" w:bidi="ar-SA"/>
        </w:rPr>
        <w:t>2023</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168号文件，当地医保局对退休人员的医疗补助缴费退回缴纳单位，并由缴费单位退回至自治区财政。以上导致</w:t>
      </w:r>
      <w:r>
        <w:rPr>
          <w:rFonts w:hint="eastAsia" w:ascii="仿宋_GB2312" w:eastAsia="仿宋_GB2312"/>
          <w:color w:val="auto"/>
          <w:spacing w:val="0"/>
          <w:sz w:val="32"/>
          <w:szCs w:val="32"/>
          <w:highlight w:val="none"/>
          <w:lang w:eastAsia="zh-CN"/>
        </w:rPr>
        <w:t>财政拨款</w:t>
      </w:r>
      <w:r>
        <w:rPr>
          <w:rFonts w:hint="eastAsia" w:ascii="仿宋_GB2312" w:eastAsia="仿宋_GB2312"/>
          <w:color w:val="auto"/>
          <w:spacing w:val="0"/>
          <w:sz w:val="32"/>
          <w:szCs w:val="32"/>
          <w:highlight w:val="none"/>
          <w:lang w:val="en-US" w:eastAsia="zh-CN"/>
        </w:rPr>
        <w:t>支出总体比上年减少。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109.91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115.30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4.91%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highlight w:val="none"/>
          <w:lang w:val="zh-CN" w:eastAsia="zh-CN"/>
        </w:rPr>
        <w:t>根据考核结果追加在职、退休人员年终绩效考核奖金</w:t>
      </w:r>
      <w:r>
        <w:rPr>
          <w:rFonts w:hint="eastAsia" w:ascii="仿宋_GB2312" w:eastAsia="仿宋_GB2312"/>
          <w:color w:val="auto"/>
          <w:spacing w:val="0"/>
          <w:sz w:val="32"/>
          <w:szCs w:val="32"/>
          <w:highlight w:val="none"/>
          <w:lang w:eastAsia="zh-CN"/>
        </w:rPr>
        <w:t>。</w:t>
      </w:r>
    </w:p>
    <w:p w14:paraId="36E6848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4635C4C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13.19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11.44</w:t>
      </w:r>
      <w:r>
        <w:rPr>
          <w:rFonts w:hint="default" w:ascii="仿宋_GB2312" w:hAnsi="Times New Roman" w:eastAsia="仿宋_GB2312" w:cs="Times New Roman"/>
          <w:color w:val="auto"/>
          <w:spacing w:val="0"/>
          <w:kern w:val="2"/>
          <w:sz w:val="32"/>
          <w:szCs w:val="32"/>
          <w:highlight w:val="none"/>
          <w:lang w:val="zh-CN" w:eastAsia="zh-CN" w:bidi="ar-SA"/>
        </w:rPr>
        <w:t>%；</w:t>
      </w:r>
    </w:p>
    <w:p w14:paraId="082D890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6.82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5.92</w:t>
      </w:r>
      <w:r>
        <w:rPr>
          <w:rFonts w:hint="default" w:ascii="仿宋_GB2312" w:hAnsi="Times New Roman" w:eastAsia="仿宋_GB2312" w:cs="Times New Roman"/>
          <w:color w:val="auto"/>
          <w:spacing w:val="0"/>
          <w:kern w:val="2"/>
          <w:sz w:val="32"/>
          <w:szCs w:val="32"/>
          <w:highlight w:val="none"/>
          <w:lang w:val="zh-CN" w:eastAsia="zh-CN" w:bidi="ar-SA"/>
        </w:rPr>
        <w:t>%；</w:t>
      </w:r>
    </w:p>
    <w:p w14:paraId="6C13320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89.86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77.93</w:t>
      </w:r>
      <w:r>
        <w:rPr>
          <w:rFonts w:hint="default" w:ascii="仿宋_GB2312" w:hAnsi="Times New Roman" w:eastAsia="仿宋_GB2312" w:cs="Times New Roman"/>
          <w:color w:val="auto"/>
          <w:spacing w:val="0"/>
          <w:kern w:val="2"/>
          <w:sz w:val="32"/>
          <w:szCs w:val="32"/>
          <w:highlight w:val="none"/>
          <w:lang w:val="zh-CN" w:eastAsia="zh-CN" w:bidi="ar-SA"/>
        </w:rPr>
        <w:t>%；</w:t>
      </w:r>
    </w:p>
    <w:p w14:paraId="3F98A39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5.43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4.71</w:t>
      </w:r>
      <w:r>
        <w:rPr>
          <w:rFonts w:hint="default" w:ascii="仿宋_GB2312" w:hAnsi="Times New Roman" w:eastAsia="仿宋_GB2312" w:cs="Times New Roman"/>
          <w:color w:val="auto"/>
          <w:spacing w:val="0"/>
          <w:kern w:val="2"/>
          <w:sz w:val="32"/>
          <w:szCs w:val="32"/>
          <w:highlight w:val="none"/>
          <w:lang w:val="zh-CN" w:eastAsia="zh-CN" w:bidi="ar-SA"/>
        </w:rPr>
        <w:t>%；</w:t>
      </w:r>
    </w:p>
    <w:p w14:paraId="0EB7D5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仿宋_GB2312" w:eastAsia="仿宋_GB2312" w:cs="Times New Roman"/>
          <w:color w:val="auto"/>
          <w:spacing w:val="0"/>
          <w:kern w:val="2"/>
          <w:sz w:val="32"/>
          <w:szCs w:val="32"/>
          <w:lang w:val="en-US" w:eastAsia="zh-CN" w:bidi="ar-SA"/>
        </w:rPr>
        <w:t xml:space="preserve"> </w:t>
      </w:r>
      <w:r>
        <w:rPr>
          <w:rFonts w:hint="eastAsia" w:ascii="黑体" w:hAnsi="黑体" w:eastAsia="黑体"/>
          <w:color w:val="auto"/>
          <w:sz w:val="32"/>
          <w:szCs w:val="32"/>
          <w:highlight w:val="none"/>
          <w:lang w:eastAsia="zh-CN"/>
        </w:rPr>
        <w:t>（三）一般公共预算财政拨款支出决算具体情况</w:t>
      </w:r>
    </w:p>
    <w:p w14:paraId="1E4841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11.21%，主要原因是</w:t>
      </w:r>
      <w:r>
        <w:rPr>
          <w:rFonts w:hint="eastAsia" w:eastAsia="仿宋_GB2312" w:cs="Times New Roman"/>
          <w:color w:val="auto"/>
          <w:kern w:val="2"/>
          <w:sz w:val="32"/>
          <w:szCs w:val="32"/>
          <w:highlight w:val="none"/>
          <w:lang w:val="en-US" w:eastAsia="zh-CN" w:bidi="ar-SA"/>
        </w:rPr>
        <w:t>：</w:t>
      </w:r>
      <w:r>
        <w:rPr>
          <w:rFonts w:hint="eastAsia" w:ascii="仿宋_GB2312" w:eastAsia="仿宋_GB2312"/>
          <w:color w:val="auto"/>
          <w:spacing w:val="0"/>
          <w:sz w:val="32"/>
          <w:szCs w:val="32"/>
          <w:highlight w:val="none"/>
          <w:lang w:val="en-US" w:eastAsia="zh-CN"/>
        </w:rPr>
        <w:t>2022年末调出1人，导致2023年</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ascii="仿宋_GB2312" w:eastAsia="仿宋_GB2312"/>
          <w:color w:val="auto"/>
          <w:spacing w:val="0"/>
          <w:sz w:val="32"/>
          <w:szCs w:val="32"/>
          <w:highlight w:val="none"/>
          <w:lang w:val="en-US" w:eastAsia="zh-CN"/>
        </w:rPr>
        <w:t>基数减少，因此决算支出比上年减少</w:t>
      </w:r>
      <w:r>
        <w:rPr>
          <w:rFonts w:hint="eastAsia" w:eastAsia="仿宋_GB2312" w:cs="Times New Roman"/>
          <w:color w:val="auto"/>
          <w:kern w:val="2"/>
          <w:sz w:val="32"/>
          <w:szCs w:val="32"/>
          <w:highlight w:val="none"/>
          <w:lang w:val="zh-CN" w:eastAsia="zh-CN" w:bidi="ar-SA"/>
        </w:rPr>
        <w:t>。</w:t>
      </w:r>
    </w:p>
    <w:p w14:paraId="03E3818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0.90%，主要原因是：</w:t>
      </w:r>
      <w:r>
        <w:rPr>
          <w:rFonts w:hint="eastAsia" w:ascii="仿宋_GB2312" w:eastAsia="仿宋_GB2312"/>
          <w:color w:val="auto"/>
          <w:spacing w:val="0"/>
          <w:sz w:val="32"/>
          <w:szCs w:val="32"/>
          <w:highlight w:val="none"/>
          <w:lang w:val="en-US" w:eastAsia="zh-CN"/>
        </w:rPr>
        <w:t>2022年末调出1人，导致2023年</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ascii="仿宋_GB2312" w:eastAsia="仿宋_GB2312"/>
          <w:color w:val="auto"/>
          <w:spacing w:val="0"/>
          <w:sz w:val="32"/>
          <w:szCs w:val="32"/>
          <w:highlight w:val="none"/>
          <w:lang w:val="en-US" w:eastAsia="zh-CN"/>
        </w:rPr>
        <w:t>基数减少，因此决算支出比上年减少</w:t>
      </w:r>
      <w:r>
        <w:rPr>
          <w:rFonts w:hint="eastAsia" w:eastAsia="仿宋_GB2312" w:cs="Times New Roman"/>
          <w:color w:val="auto"/>
          <w:kern w:val="2"/>
          <w:sz w:val="32"/>
          <w:szCs w:val="32"/>
          <w:highlight w:val="none"/>
          <w:lang w:val="zh-CN" w:eastAsia="zh-CN" w:bidi="ar-SA"/>
        </w:rPr>
        <w:t>。</w:t>
      </w:r>
    </w:p>
    <w:p w14:paraId="1587563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3.自然资源海洋气象等支出（类）自然资源事务（款）其他自然资源事务支出（项）:支出决算数为29.00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13.36%，主要原因是：</w:t>
      </w:r>
      <w:r>
        <w:rPr>
          <w:rFonts w:hint="eastAsia" w:eastAsia="仿宋_GB2312" w:cs="Times New Roman"/>
          <w:color w:val="auto"/>
          <w:kern w:val="2"/>
          <w:sz w:val="32"/>
          <w:szCs w:val="32"/>
          <w:highlight w:val="none"/>
          <w:lang w:val="zh-CN" w:eastAsia="zh-CN" w:bidi="ar-SA"/>
        </w:rPr>
        <w:t>本年度执法业务工作量减少，降低执法业务成本，项目经费减少。</w:t>
      </w:r>
    </w:p>
    <w:p w14:paraId="64FB1D7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4.自然资源海洋气象等支出（类）自然资源事务（款）行政运行（项）:支出决算数为60.85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12.59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17.15%，主要原因是：</w:t>
      </w:r>
      <w:r>
        <w:rPr>
          <w:rFonts w:hint="eastAsia" w:ascii="仿宋_GB2312" w:eastAsia="仿宋_GB2312"/>
          <w:color w:val="auto"/>
          <w:spacing w:val="0"/>
          <w:sz w:val="32"/>
          <w:szCs w:val="32"/>
          <w:highlight w:val="none"/>
          <w:lang w:val="en-US" w:eastAsia="zh-CN"/>
        </w:rPr>
        <w:t>2022年末调出1人，导致2023年</w:t>
      </w:r>
      <w:r>
        <w:rPr>
          <w:rFonts w:hint="eastAsia" w:eastAsia="仿宋_GB2312" w:cs="Times New Roman"/>
          <w:color w:val="auto"/>
          <w:kern w:val="2"/>
          <w:sz w:val="32"/>
          <w:szCs w:val="32"/>
          <w:highlight w:val="none"/>
          <w:lang w:val="en-US" w:eastAsia="zh-CN" w:bidi="ar-SA"/>
        </w:rPr>
        <w:t>工资福利支出及其他支出取</w:t>
      </w:r>
      <w:r>
        <w:rPr>
          <w:rFonts w:hint="eastAsia" w:ascii="仿宋_GB2312" w:eastAsia="仿宋_GB2312"/>
          <w:color w:val="auto"/>
          <w:spacing w:val="0"/>
          <w:sz w:val="32"/>
          <w:szCs w:val="32"/>
          <w:highlight w:val="none"/>
          <w:lang w:val="en-US" w:eastAsia="zh-CN"/>
        </w:rPr>
        <w:t>数减少，因此决算支出比上年减少</w:t>
      </w:r>
      <w:r>
        <w:rPr>
          <w:rFonts w:hint="eastAsia" w:eastAsia="仿宋_GB2312" w:cs="Times New Roman"/>
          <w:color w:val="auto"/>
          <w:kern w:val="2"/>
          <w:sz w:val="32"/>
          <w:szCs w:val="32"/>
          <w:highlight w:val="none"/>
          <w:lang w:val="zh-CN" w:eastAsia="zh-CN" w:bidi="ar-SA"/>
        </w:rPr>
        <w:t>。</w:t>
      </w:r>
    </w:p>
    <w:p w14:paraId="56187AE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4.50%，主要原因是：</w:t>
      </w:r>
      <w:r>
        <w:rPr>
          <w:rFonts w:hint="eastAsia" w:ascii="仿宋_GB2312" w:eastAsia="仿宋_GB2312"/>
          <w:color w:val="auto"/>
          <w:spacing w:val="0"/>
          <w:sz w:val="32"/>
          <w:szCs w:val="32"/>
          <w:highlight w:val="none"/>
          <w:lang w:val="en-US" w:eastAsia="zh-CN"/>
        </w:rPr>
        <w:t>2022年末调出1人，导致2023年</w:t>
      </w:r>
      <w:r>
        <w:rPr>
          <w:rFonts w:hint="eastAsia" w:ascii="Times New Roman" w:hAnsi="Times New Roman" w:eastAsia="仿宋_GB2312" w:cs="Times New Roman"/>
          <w:color w:val="auto"/>
          <w:kern w:val="2"/>
          <w:sz w:val="32"/>
          <w:szCs w:val="32"/>
          <w:highlight w:val="none"/>
          <w:lang w:val="en-US" w:eastAsia="zh-CN" w:bidi="ar-SA"/>
        </w:rPr>
        <w:t>住房公积</w:t>
      </w:r>
      <w:r>
        <w:rPr>
          <w:rFonts w:hint="eastAsia" w:eastAsia="仿宋_GB2312" w:cs="Times New Roman"/>
          <w:color w:val="auto"/>
          <w:kern w:val="2"/>
          <w:sz w:val="32"/>
          <w:szCs w:val="32"/>
          <w:highlight w:val="none"/>
          <w:lang w:val="en-US" w:eastAsia="zh-CN" w:bidi="ar-SA"/>
        </w:rPr>
        <w:t>基数</w:t>
      </w:r>
      <w:r>
        <w:rPr>
          <w:rFonts w:hint="eastAsia" w:ascii="仿宋_GB2312" w:eastAsia="仿宋_GB2312"/>
          <w:color w:val="auto"/>
          <w:spacing w:val="0"/>
          <w:sz w:val="32"/>
          <w:szCs w:val="32"/>
          <w:highlight w:val="none"/>
          <w:lang w:val="en-US" w:eastAsia="zh-CN"/>
        </w:rPr>
        <w:t>减少，因此决算支出比上年减少</w:t>
      </w:r>
      <w:r>
        <w:rPr>
          <w:rFonts w:hint="eastAsia" w:eastAsia="仿宋_GB2312" w:cs="Times New Roman"/>
          <w:color w:val="auto"/>
          <w:kern w:val="2"/>
          <w:sz w:val="32"/>
          <w:szCs w:val="32"/>
          <w:highlight w:val="none"/>
          <w:lang w:val="zh-CN" w:eastAsia="zh-CN" w:bidi="ar-SA"/>
        </w:rPr>
        <w:t>。</w:t>
      </w:r>
    </w:p>
    <w:p w14:paraId="75A9B43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6.社会保障和就业支出（类）行政事业单位养老支出（款）行政单位离退休（项）:支出决算数为5.95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32.12%，主要原因是：</w:t>
      </w:r>
      <w:r>
        <w:rPr>
          <w:rFonts w:hint="eastAsia" w:eastAsia="仿宋_GB2312" w:cs="Times New Roman"/>
          <w:color w:val="auto"/>
          <w:kern w:val="2"/>
          <w:sz w:val="32"/>
          <w:szCs w:val="32"/>
          <w:highlight w:val="none"/>
          <w:lang w:val="zh-CN" w:eastAsia="zh-CN" w:bidi="ar-SA"/>
        </w:rPr>
        <w:t>根据新财社【</w:t>
      </w:r>
      <w:r>
        <w:rPr>
          <w:rFonts w:hint="eastAsia" w:eastAsia="仿宋_GB2312" w:cs="Times New Roman"/>
          <w:color w:val="auto"/>
          <w:kern w:val="2"/>
          <w:sz w:val="32"/>
          <w:szCs w:val="32"/>
          <w:highlight w:val="none"/>
          <w:lang w:val="en-US" w:eastAsia="zh-CN" w:bidi="ar-SA"/>
        </w:rPr>
        <w:t>2023</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168号文件，当地医保局对退休人员的医疗补助缴费退回缴纳单位，并由缴费单位退回至自治区财政，导致</w:t>
      </w:r>
      <w:r>
        <w:rPr>
          <w:rFonts w:hint="eastAsia" w:ascii="Times New Roman" w:hAnsi="Times New Roman" w:eastAsia="仿宋_GB2312" w:cs="Times New Roman"/>
          <w:color w:val="auto"/>
          <w:kern w:val="2"/>
          <w:sz w:val="32"/>
          <w:szCs w:val="32"/>
          <w:highlight w:val="none"/>
          <w:lang w:val="en-US" w:eastAsia="zh-CN" w:bidi="ar-SA"/>
        </w:rPr>
        <w:t>行政单位离退休</w:t>
      </w:r>
      <w:r>
        <w:rPr>
          <w:rFonts w:hint="eastAsia" w:eastAsia="仿宋_GB2312" w:cs="Times New Roman"/>
          <w:color w:val="auto"/>
          <w:kern w:val="2"/>
          <w:sz w:val="32"/>
          <w:szCs w:val="32"/>
          <w:highlight w:val="none"/>
          <w:lang w:val="en-US" w:eastAsia="zh-CN" w:bidi="ar-SA"/>
        </w:rPr>
        <w:t>支出数比上年减少。</w:t>
      </w:r>
    </w:p>
    <w:p w14:paraId="5C357A8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7.社会保障和就业支出（类）行政事业单位养老支出（款）机关事业单位基本养老保险缴费支出（项）:支出决算数为7.25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4.50%，主要原因是：</w:t>
      </w:r>
      <w:r>
        <w:rPr>
          <w:rFonts w:hint="eastAsia" w:ascii="仿宋_GB2312" w:eastAsia="仿宋_GB2312"/>
          <w:color w:val="auto"/>
          <w:spacing w:val="0"/>
          <w:sz w:val="32"/>
          <w:szCs w:val="32"/>
          <w:highlight w:val="none"/>
          <w:lang w:val="en-US" w:eastAsia="zh-CN"/>
        </w:rPr>
        <w:t>2022年末调出1人，导致2023年</w:t>
      </w:r>
      <w:r>
        <w:rPr>
          <w:rFonts w:hint="eastAsia" w:ascii="Times New Roman" w:hAnsi="Times New Roman" w:eastAsia="仿宋_GB2312" w:cs="Times New Roman"/>
          <w:color w:val="auto"/>
          <w:kern w:val="2"/>
          <w:sz w:val="32"/>
          <w:szCs w:val="32"/>
          <w:highlight w:val="none"/>
          <w:lang w:val="en-US" w:eastAsia="zh-CN" w:bidi="ar-SA"/>
        </w:rPr>
        <w:t>基本养老保险缴费</w:t>
      </w:r>
      <w:r>
        <w:rPr>
          <w:rFonts w:hint="eastAsia" w:ascii="仿宋_GB2312" w:eastAsia="仿宋_GB2312"/>
          <w:color w:val="auto"/>
          <w:spacing w:val="0"/>
          <w:sz w:val="32"/>
          <w:szCs w:val="32"/>
          <w:highlight w:val="none"/>
          <w:lang w:val="en-US" w:eastAsia="zh-CN"/>
        </w:rPr>
        <w:t>基数减少，因此决算支出比上年减少</w:t>
      </w:r>
      <w:r>
        <w:rPr>
          <w:rFonts w:hint="eastAsia" w:eastAsia="仿宋_GB2312" w:cs="Times New Roman"/>
          <w:color w:val="auto"/>
          <w:kern w:val="2"/>
          <w:sz w:val="32"/>
          <w:szCs w:val="32"/>
          <w:highlight w:val="none"/>
          <w:lang w:val="zh-CN" w:eastAsia="zh-CN" w:bidi="ar-SA"/>
        </w:rPr>
        <w:t>。</w:t>
      </w:r>
    </w:p>
    <w:p w14:paraId="0269915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5CF54B8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86.30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81.48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基本工资、津贴补贴、奖金、机关事业单位基本养老保险缴费、职工基本医疗保险缴费、公务员医疗补助缴费、其他社会保障缴费、住房公积金、其他工资福利支出、退休费、其他对个人和家庭的补助。</w:t>
      </w:r>
    </w:p>
    <w:p w14:paraId="6715CD3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4.82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p>
    <w:p w14:paraId="127BE90B">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仿宋_GB2312" w:eastAsia="仿宋_GB2312"/>
          <w:b/>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79198C4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70E38F4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21EC514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2C9620C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原因是：我单位车辆为</w:t>
      </w:r>
      <w:r>
        <w:rPr>
          <w:rFonts w:hint="eastAsia" w:eastAsia="仿宋_GB2312" w:cs="Times New Roman"/>
          <w:color w:val="auto"/>
          <w:sz w:val="32"/>
          <w:szCs w:val="32"/>
          <w:highlight w:val="none"/>
          <w:lang w:val="zh-CN" w:eastAsia="zh-CN"/>
        </w:rPr>
        <w:t>皮卡车，</w:t>
      </w:r>
      <w:r>
        <w:rPr>
          <w:rFonts w:hint="eastAsia" w:ascii="仿宋_GB2312" w:eastAsia="仿宋_GB2312"/>
          <w:color w:val="auto"/>
          <w:sz w:val="32"/>
          <w:szCs w:val="32"/>
          <w:highlight w:val="none"/>
          <w:lang w:val="en-US" w:eastAsia="zh-CN"/>
        </w:rPr>
        <w:t>不属于公务用车，使用其他交通费，支付燃油及维修费</w:t>
      </w:r>
      <w:bookmarkStart w:id="48" w:name="_GoBack"/>
      <w:bookmarkEnd w:id="48"/>
      <w:r>
        <w:rPr>
          <w:rFonts w:hint="eastAsia" w:ascii="仿宋_GB2312" w:eastAsia="仿宋_GB2312"/>
          <w:color w:val="auto"/>
          <w:sz w:val="32"/>
          <w:szCs w:val="32"/>
          <w:highlight w:val="none"/>
          <w:lang w:val="zh-CN" w:eastAsia="zh-CN"/>
        </w:rPr>
        <w:t>。</w:t>
      </w:r>
    </w:p>
    <w:p w14:paraId="7F57805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0BBE0885">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14:paraId="7194748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5E8E91D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319622CA">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36AF25B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437664F4">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仿宋_GB2312" w:eastAsia="仿宋_GB2312"/>
          <w:b/>
          <w:bCs/>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53B69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39198116">
      <w:pPr>
        <w:ind w:firstLine="640" w:firstLineChars="200"/>
        <w:rPr>
          <w:rFonts w:hint="default"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富蕴县国土资源执法监察大队（行政单位和参照公务员法管理事业单位）机关运行经费支出4.82万元，比上年减少1.04万元，下降17.78%，主要原因是：</w:t>
      </w:r>
      <w:r>
        <w:rPr>
          <w:rFonts w:hint="eastAsia" w:eastAsia="仿宋_GB2312" w:cs="Times New Roman"/>
          <w:color w:val="auto"/>
          <w:sz w:val="32"/>
          <w:szCs w:val="32"/>
          <w:highlight w:val="none"/>
          <w:lang w:val="en-US" w:eastAsia="zh-CN"/>
        </w:rPr>
        <w:t>2022年度调出1人，导致2023年度预算公用经费取数减少，因此</w:t>
      </w:r>
      <w:r>
        <w:rPr>
          <w:rFonts w:hint="eastAsia" w:ascii="Times New Roman" w:hAnsi="Times New Roman" w:eastAsia="仿宋_GB2312" w:cs="Times New Roman"/>
          <w:color w:val="auto"/>
          <w:sz w:val="32"/>
          <w:szCs w:val="32"/>
          <w:highlight w:val="none"/>
          <w:lang w:val="en-US" w:eastAsia="zh-CN"/>
        </w:rPr>
        <w:t>机关运行经费支出</w:t>
      </w:r>
      <w:r>
        <w:rPr>
          <w:rFonts w:hint="eastAsia" w:eastAsia="仿宋_GB2312" w:cs="Times New Roman"/>
          <w:color w:val="auto"/>
          <w:sz w:val="32"/>
          <w:szCs w:val="32"/>
          <w:highlight w:val="none"/>
          <w:lang w:val="en-US" w:eastAsia="zh-CN"/>
        </w:rPr>
        <w:t>比上年下降。</w:t>
      </w:r>
    </w:p>
    <w:p w14:paraId="2B5264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273604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20FFD3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5C0B26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2CB2EB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55.39</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屋100.76平方米，价值12.88万元。车辆1辆，价值14.60万元，其中：副部（省）级及以上领导用车0辆、主要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zh-CN" w:eastAsia="zh-CN"/>
        </w:rPr>
        <w:t>皮卡车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6A41D7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0C0FF81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eastAsia="仿宋_GB2312"/>
          <w:sz w:val="32"/>
          <w:szCs w:val="32"/>
        </w:rPr>
        <w:t>根据预算绩效管理要求，</w:t>
      </w:r>
      <w:r>
        <w:rPr>
          <w:rFonts w:hint="eastAsia" w:ascii="仿宋_GB2312" w:eastAsia="仿宋_GB2312"/>
          <w:sz w:val="32"/>
          <w:szCs w:val="32"/>
          <w:highlight w:val="none"/>
          <w:lang w:eastAsia="zh-CN"/>
        </w:rPr>
        <w:t>我单位2023年度</w:t>
      </w:r>
      <w:r>
        <w:rPr>
          <w:rFonts w:hint="eastAsia" w:ascii="仿宋_GB2312" w:hAnsi="仿宋_GB2312" w:eastAsia="仿宋_GB2312" w:cs="仿宋_GB2312"/>
          <w:color w:val="auto"/>
          <w:kern w:val="0"/>
          <w:sz w:val="32"/>
          <w:szCs w:val="32"/>
          <w:highlight w:val="none"/>
        </w:rPr>
        <w:t>预算绩效</w:t>
      </w:r>
      <w:r>
        <w:rPr>
          <w:rFonts w:hint="eastAsia" w:ascii="仿宋_GB2312" w:eastAsia="仿宋_GB2312"/>
          <w:sz w:val="32"/>
          <w:szCs w:val="32"/>
        </w:rPr>
        <w:t>评价项目</w:t>
      </w:r>
      <w:r>
        <w:rPr>
          <w:rFonts w:hint="eastAsia" w:ascii="仿宋_GB2312" w:eastAsia="仿宋_GB2312"/>
          <w:sz w:val="32"/>
          <w:szCs w:val="32"/>
          <w:lang w:val="en-US" w:eastAsia="zh-CN"/>
        </w:rPr>
        <w:t>0个</w:t>
      </w:r>
      <w:r>
        <w:rPr>
          <w:rFonts w:hint="eastAsia" w:ascii="仿宋_GB2312" w:eastAsia="仿宋_GB2312"/>
          <w:sz w:val="32"/>
          <w:szCs w:val="32"/>
          <w:lang w:eastAsia="zh-CN"/>
        </w:rPr>
        <w:t>，</w:t>
      </w:r>
      <w:r>
        <w:rPr>
          <w:rFonts w:hint="eastAsia" w:ascii="仿宋_GB2312" w:eastAsia="仿宋_GB2312"/>
          <w:sz w:val="32"/>
          <w:szCs w:val="32"/>
        </w:rPr>
        <w:t>全年预算数0.00万元，全年执行数0.00万元。预算绩效管理取得的成效：我单位本年无绩效评价项目。发现的问题及原因：我单位本年无绩效评价项目。下一步改进措施：我单位本年无绩效评价项目。</w:t>
      </w:r>
    </w:p>
    <w:p w14:paraId="3A96D9A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4AE6C09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50E9A3D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3B47FBA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071CFB7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504931D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15B5E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776ACBD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13B4475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94ECF7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6E9B5E8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2BFF745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7FAB911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1360894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F17C5F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F16CF4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0B2A922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49195CC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E5EC97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37872AA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50757E36">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6EB603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647DA2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5D3E34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3E7410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593651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7884C6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7CC50A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083936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1B434A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68FD54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9F7C45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CBA31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DE0C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7F41F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17F41F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734F70"/>
    <w:rsid w:val="00B70D59"/>
    <w:rsid w:val="00D23242"/>
    <w:rsid w:val="00F52A8D"/>
    <w:rsid w:val="019404F8"/>
    <w:rsid w:val="02BD3108"/>
    <w:rsid w:val="02F73D26"/>
    <w:rsid w:val="034D4FEF"/>
    <w:rsid w:val="035D1785"/>
    <w:rsid w:val="0397575E"/>
    <w:rsid w:val="039F47CE"/>
    <w:rsid w:val="03E05CE8"/>
    <w:rsid w:val="03F973EE"/>
    <w:rsid w:val="043E5B56"/>
    <w:rsid w:val="04C04386"/>
    <w:rsid w:val="04FA68C4"/>
    <w:rsid w:val="05302A6D"/>
    <w:rsid w:val="053F5AE6"/>
    <w:rsid w:val="057C0B0F"/>
    <w:rsid w:val="05A52CD4"/>
    <w:rsid w:val="05EF4B48"/>
    <w:rsid w:val="05F76ECA"/>
    <w:rsid w:val="06792773"/>
    <w:rsid w:val="06D849E3"/>
    <w:rsid w:val="07093795"/>
    <w:rsid w:val="073D135E"/>
    <w:rsid w:val="0777175F"/>
    <w:rsid w:val="07804730"/>
    <w:rsid w:val="079052BE"/>
    <w:rsid w:val="08145C21"/>
    <w:rsid w:val="08422688"/>
    <w:rsid w:val="085854ED"/>
    <w:rsid w:val="0879188F"/>
    <w:rsid w:val="08A0354D"/>
    <w:rsid w:val="08CD4C49"/>
    <w:rsid w:val="09114954"/>
    <w:rsid w:val="095A5B83"/>
    <w:rsid w:val="096466E3"/>
    <w:rsid w:val="0968304D"/>
    <w:rsid w:val="09AF3D17"/>
    <w:rsid w:val="09D122E9"/>
    <w:rsid w:val="0A075D0B"/>
    <w:rsid w:val="0A6C08B7"/>
    <w:rsid w:val="0A7809B7"/>
    <w:rsid w:val="0A7B4867"/>
    <w:rsid w:val="0A840954"/>
    <w:rsid w:val="0A9928ED"/>
    <w:rsid w:val="0AC10F38"/>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D26630"/>
    <w:rsid w:val="0E640559"/>
    <w:rsid w:val="0F1113DA"/>
    <w:rsid w:val="0F78534A"/>
    <w:rsid w:val="0F89358A"/>
    <w:rsid w:val="0F8C6D51"/>
    <w:rsid w:val="105477D0"/>
    <w:rsid w:val="105B0B5E"/>
    <w:rsid w:val="112E58D0"/>
    <w:rsid w:val="11731CAC"/>
    <w:rsid w:val="119500A0"/>
    <w:rsid w:val="119F0481"/>
    <w:rsid w:val="11C0733B"/>
    <w:rsid w:val="11D50D17"/>
    <w:rsid w:val="120E0809"/>
    <w:rsid w:val="127F665A"/>
    <w:rsid w:val="12F7068C"/>
    <w:rsid w:val="1407341B"/>
    <w:rsid w:val="14207DC0"/>
    <w:rsid w:val="14B051F1"/>
    <w:rsid w:val="14B932DA"/>
    <w:rsid w:val="150A66AF"/>
    <w:rsid w:val="154C1139"/>
    <w:rsid w:val="15672873"/>
    <w:rsid w:val="158C5B77"/>
    <w:rsid w:val="160D1149"/>
    <w:rsid w:val="163563C0"/>
    <w:rsid w:val="164315EF"/>
    <w:rsid w:val="16557DFE"/>
    <w:rsid w:val="167268FB"/>
    <w:rsid w:val="16D50C50"/>
    <w:rsid w:val="16E120E1"/>
    <w:rsid w:val="17385A05"/>
    <w:rsid w:val="173B3901"/>
    <w:rsid w:val="176747F9"/>
    <w:rsid w:val="17954A6E"/>
    <w:rsid w:val="180059E9"/>
    <w:rsid w:val="184510FD"/>
    <w:rsid w:val="189F35B2"/>
    <w:rsid w:val="190648B0"/>
    <w:rsid w:val="19071D6C"/>
    <w:rsid w:val="194B373A"/>
    <w:rsid w:val="19923EB6"/>
    <w:rsid w:val="1996608F"/>
    <w:rsid w:val="19D26CD4"/>
    <w:rsid w:val="19E60D19"/>
    <w:rsid w:val="19FE1D73"/>
    <w:rsid w:val="1A3E3450"/>
    <w:rsid w:val="1AB86BAD"/>
    <w:rsid w:val="1AD807E5"/>
    <w:rsid w:val="1B39345B"/>
    <w:rsid w:val="1B636B19"/>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2508DE"/>
    <w:rsid w:val="2064678E"/>
    <w:rsid w:val="20DC1AB9"/>
    <w:rsid w:val="20DD6197"/>
    <w:rsid w:val="20F546B7"/>
    <w:rsid w:val="212631E0"/>
    <w:rsid w:val="21A53757"/>
    <w:rsid w:val="221236C6"/>
    <w:rsid w:val="22C229F3"/>
    <w:rsid w:val="22D7662C"/>
    <w:rsid w:val="23326B7F"/>
    <w:rsid w:val="2380045B"/>
    <w:rsid w:val="23827D58"/>
    <w:rsid w:val="23BC04D2"/>
    <w:rsid w:val="23EF1892"/>
    <w:rsid w:val="2483647E"/>
    <w:rsid w:val="24A32D55"/>
    <w:rsid w:val="24C3687B"/>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511A1"/>
    <w:rsid w:val="29CB58F0"/>
    <w:rsid w:val="2A053397"/>
    <w:rsid w:val="2A145E96"/>
    <w:rsid w:val="2A493365"/>
    <w:rsid w:val="2AF5378F"/>
    <w:rsid w:val="2B496A2D"/>
    <w:rsid w:val="2B54022C"/>
    <w:rsid w:val="2BB94DBF"/>
    <w:rsid w:val="2BC317AE"/>
    <w:rsid w:val="2C5E2660"/>
    <w:rsid w:val="2C6F314E"/>
    <w:rsid w:val="2C74022C"/>
    <w:rsid w:val="2CC206BE"/>
    <w:rsid w:val="2CE47876"/>
    <w:rsid w:val="2CFA3055"/>
    <w:rsid w:val="2D1136DF"/>
    <w:rsid w:val="2D20606D"/>
    <w:rsid w:val="2DA6341C"/>
    <w:rsid w:val="2DB87198"/>
    <w:rsid w:val="2DB93C54"/>
    <w:rsid w:val="2DFB3650"/>
    <w:rsid w:val="2E3D144C"/>
    <w:rsid w:val="2E891204"/>
    <w:rsid w:val="2E8E7EF9"/>
    <w:rsid w:val="2F3F0A28"/>
    <w:rsid w:val="2FBF7029"/>
    <w:rsid w:val="2FD0187F"/>
    <w:rsid w:val="2FD27414"/>
    <w:rsid w:val="2FFE4BB0"/>
    <w:rsid w:val="300E7B60"/>
    <w:rsid w:val="300F6E18"/>
    <w:rsid w:val="30862F5F"/>
    <w:rsid w:val="314029C9"/>
    <w:rsid w:val="31C63837"/>
    <w:rsid w:val="31C82E39"/>
    <w:rsid w:val="32044D41"/>
    <w:rsid w:val="32090B81"/>
    <w:rsid w:val="32601BAD"/>
    <w:rsid w:val="329F6389"/>
    <w:rsid w:val="3389023A"/>
    <w:rsid w:val="33C344D3"/>
    <w:rsid w:val="33CB74FA"/>
    <w:rsid w:val="343642F2"/>
    <w:rsid w:val="343F3010"/>
    <w:rsid w:val="345D0A00"/>
    <w:rsid w:val="34713BFD"/>
    <w:rsid w:val="34C13589"/>
    <w:rsid w:val="353369E3"/>
    <w:rsid w:val="35616768"/>
    <w:rsid w:val="35B44123"/>
    <w:rsid w:val="35E00D72"/>
    <w:rsid w:val="362A3B58"/>
    <w:rsid w:val="363730BF"/>
    <w:rsid w:val="36965B9D"/>
    <w:rsid w:val="36C549FD"/>
    <w:rsid w:val="37A755DD"/>
    <w:rsid w:val="37F94FA0"/>
    <w:rsid w:val="380D3381"/>
    <w:rsid w:val="38115B1F"/>
    <w:rsid w:val="385E3AC3"/>
    <w:rsid w:val="387D6B9E"/>
    <w:rsid w:val="38B75FF0"/>
    <w:rsid w:val="38D45016"/>
    <w:rsid w:val="38D90432"/>
    <w:rsid w:val="3914510A"/>
    <w:rsid w:val="3926770B"/>
    <w:rsid w:val="397D2A45"/>
    <w:rsid w:val="398D3668"/>
    <w:rsid w:val="39DA0497"/>
    <w:rsid w:val="3A6A5B18"/>
    <w:rsid w:val="3A893816"/>
    <w:rsid w:val="3A893B6D"/>
    <w:rsid w:val="3AD1763A"/>
    <w:rsid w:val="3B6716E3"/>
    <w:rsid w:val="3B6C6B2D"/>
    <w:rsid w:val="3C242659"/>
    <w:rsid w:val="3C8231CA"/>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86313"/>
    <w:rsid w:val="40794A29"/>
    <w:rsid w:val="40834692"/>
    <w:rsid w:val="41431AD5"/>
    <w:rsid w:val="414B3C0F"/>
    <w:rsid w:val="417C1CE7"/>
    <w:rsid w:val="41900018"/>
    <w:rsid w:val="41944406"/>
    <w:rsid w:val="41CE128F"/>
    <w:rsid w:val="41DA6F12"/>
    <w:rsid w:val="42171FB1"/>
    <w:rsid w:val="42A7780B"/>
    <w:rsid w:val="434E6957"/>
    <w:rsid w:val="43BA0E31"/>
    <w:rsid w:val="43C15147"/>
    <w:rsid w:val="43E14DD2"/>
    <w:rsid w:val="43F800E9"/>
    <w:rsid w:val="443A7E4B"/>
    <w:rsid w:val="444014B0"/>
    <w:rsid w:val="45216F7A"/>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7879D5"/>
    <w:rsid w:val="488727DB"/>
    <w:rsid w:val="48B82268"/>
    <w:rsid w:val="48C354B3"/>
    <w:rsid w:val="49066BB2"/>
    <w:rsid w:val="492C7E67"/>
    <w:rsid w:val="493D58B5"/>
    <w:rsid w:val="494A7A04"/>
    <w:rsid w:val="4A0A26D2"/>
    <w:rsid w:val="4A2019A5"/>
    <w:rsid w:val="4A241A0B"/>
    <w:rsid w:val="4A7B2875"/>
    <w:rsid w:val="4A934476"/>
    <w:rsid w:val="4AAA220A"/>
    <w:rsid w:val="4AE12E67"/>
    <w:rsid w:val="4B4C0111"/>
    <w:rsid w:val="4B8553A9"/>
    <w:rsid w:val="4BDB3730"/>
    <w:rsid w:val="4C200F7A"/>
    <w:rsid w:val="4C4946ED"/>
    <w:rsid w:val="4CEE3180"/>
    <w:rsid w:val="4D0F4AF6"/>
    <w:rsid w:val="4DF94F37"/>
    <w:rsid w:val="4E0A1DD5"/>
    <w:rsid w:val="4E3160E5"/>
    <w:rsid w:val="4E4D37AF"/>
    <w:rsid w:val="4E7C16C5"/>
    <w:rsid w:val="4E8C6496"/>
    <w:rsid w:val="4EFD18DE"/>
    <w:rsid w:val="4F144236"/>
    <w:rsid w:val="4F520447"/>
    <w:rsid w:val="4F663C87"/>
    <w:rsid w:val="4F7E29A8"/>
    <w:rsid w:val="4F9E1FFC"/>
    <w:rsid w:val="4FE6773D"/>
    <w:rsid w:val="50447CC2"/>
    <w:rsid w:val="50874A7C"/>
    <w:rsid w:val="50895EE7"/>
    <w:rsid w:val="50921B9D"/>
    <w:rsid w:val="50B31110"/>
    <w:rsid w:val="50D16158"/>
    <w:rsid w:val="50DB5F45"/>
    <w:rsid w:val="51025EB1"/>
    <w:rsid w:val="51141503"/>
    <w:rsid w:val="518D0ED5"/>
    <w:rsid w:val="51E732F9"/>
    <w:rsid w:val="520D7203"/>
    <w:rsid w:val="525C687F"/>
    <w:rsid w:val="52F647F7"/>
    <w:rsid w:val="52F92565"/>
    <w:rsid w:val="531B14AC"/>
    <w:rsid w:val="53D03877"/>
    <w:rsid w:val="542F73CA"/>
    <w:rsid w:val="5430786D"/>
    <w:rsid w:val="5455279C"/>
    <w:rsid w:val="54C811C0"/>
    <w:rsid w:val="556A442D"/>
    <w:rsid w:val="55B26817"/>
    <w:rsid w:val="55DA564E"/>
    <w:rsid w:val="5604127D"/>
    <w:rsid w:val="56166703"/>
    <w:rsid w:val="56510474"/>
    <w:rsid w:val="56861525"/>
    <w:rsid w:val="56A812A9"/>
    <w:rsid w:val="56A93273"/>
    <w:rsid w:val="56BD550C"/>
    <w:rsid w:val="56D26326"/>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BE3015"/>
    <w:rsid w:val="5BD456CE"/>
    <w:rsid w:val="5C0D1F49"/>
    <w:rsid w:val="5CBB0CE2"/>
    <w:rsid w:val="5CC17177"/>
    <w:rsid w:val="5CF306BC"/>
    <w:rsid w:val="5D3F3D64"/>
    <w:rsid w:val="5D833043"/>
    <w:rsid w:val="5DD92690"/>
    <w:rsid w:val="5DDB1CFD"/>
    <w:rsid w:val="5DFB2606"/>
    <w:rsid w:val="5E7E6D93"/>
    <w:rsid w:val="5ED44800"/>
    <w:rsid w:val="5F350BDE"/>
    <w:rsid w:val="5F61632C"/>
    <w:rsid w:val="5FA17648"/>
    <w:rsid w:val="5FA36AB1"/>
    <w:rsid w:val="5FE705CB"/>
    <w:rsid w:val="603D5080"/>
    <w:rsid w:val="60D0261B"/>
    <w:rsid w:val="618E3791"/>
    <w:rsid w:val="61947DCA"/>
    <w:rsid w:val="61A46A97"/>
    <w:rsid w:val="61D1382F"/>
    <w:rsid w:val="61F114A2"/>
    <w:rsid w:val="62512BB4"/>
    <w:rsid w:val="625D7D1A"/>
    <w:rsid w:val="62DD7D21"/>
    <w:rsid w:val="637D586B"/>
    <w:rsid w:val="63860BC4"/>
    <w:rsid w:val="63A5560B"/>
    <w:rsid w:val="63D74F1D"/>
    <w:rsid w:val="63E9091F"/>
    <w:rsid w:val="64322AF9"/>
    <w:rsid w:val="648B3FB8"/>
    <w:rsid w:val="64D6010D"/>
    <w:rsid w:val="64D82665"/>
    <w:rsid w:val="64E47C96"/>
    <w:rsid w:val="651E5741"/>
    <w:rsid w:val="652D1B5C"/>
    <w:rsid w:val="658A4877"/>
    <w:rsid w:val="65A00902"/>
    <w:rsid w:val="65AC6EDD"/>
    <w:rsid w:val="65D97752"/>
    <w:rsid w:val="66085536"/>
    <w:rsid w:val="66105BF7"/>
    <w:rsid w:val="66150023"/>
    <w:rsid w:val="6628010D"/>
    <w:rsid w:val="669B4528"/>
    <w:rsid w:val="669E7768"/>
    <w:rsid w:val="66CC12D7"/>
    <w:rsid w:val="67134CEF"/>
    <w:rsid w:val="671F1ABD"/>
    <w:rsid w:val="67521A59"/>
    <w:rsid w:val="677B47B7"/>
    <w:rsid w:val="67C304AB"/>
    <w:rsid w:val="683F0658"/>
    <w:rsid w:val="68614CFA"/>
    <w:rsid w:val="689C6793"/>
    <w:rsid w:val="68DB0208"/>
    <w:rsid w:val="68F42855"/>
    <w:rsid w:val="68F465CF"/>
    <w:rsid w:val="68FB170C"/>
    <w:rsid w:val="691B3D98"/>
    <w:rsid w:val="693748F0"/>
    <w:rsid w:val="697B0D4E"/>
    <w:rsid w:val="69846A0E"/>
    <w:rsid w:val="69AD798C"/>
    <w:rsid w:val="69CE5543"/>
    <w:rsid w:val="69D005C0"/>
    <w:rsid w:val="69D80B96"/>
    <w:rsid w:val="6A274783"/>
    <w:rsid w:val="6A695F53"/>
    <w:rsid w:val="6A7D1633"/>
    <w:rsid w:val="6B68175F"/>
    <w:rsid w:val="6BFD799F"/>
    <w:rsid w:val="6C4A2E5A"/>
    <w:rsid w:val="6C59424D"/>
    <w:rsid w:val="6C8138D0"/>
    <w:rsid w:val="6CDF2AE4"/>
    <w:rsid w:val="6CEF0725"/>
    <w:rsid w:val="6D4B2604"/>
    <w:rsid w:val="6D8030E4"/>
    <w:rsid w:val="6E0E35C4"/>
    <w:rsid w:val="6E0F7A08"/>
    <w:rsid w:val="6E3947F5"/>
    <w:rsid w:val="6E9C74ED"/>
    <w:rsid w:val="6EF72976"/>
    <w:rsid w:val="6F795A80"/>
    <w:rsid w:val="6F7C1D2E"/>
    <w:rsid w:val="6F8E0407"/>
    <w:rsid w:val="6FDD069F"/>
    <w:rsid w:val="6FE35394"/>
    <w:rsid w:val="702B4D16"/>
    <w:rsid w:val="70547C5E"/>
    <w:rsid w:val="707A0720"/>
    <w:rsid w:val="70AA6621"/>
    <w:rsid w:val="7111480F"/>
    <w:rsid w:val="71261F49"/>
    <w:rsid w:val="712E6956"/>
    <w:rsid w:val="71473612"/>
    <w:rsid w:val="71504F32"/>
    <w:rsid w:val="7152309F"/>
    <w:rsid w:val="718F7F65"/>
    <w:rsid w:val="72030E1E"/>
    <w:rsid w:val="727B234E"/>
    <w:rsid w:val="72826F06"/>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EB0D5A"/>
    <w:rsid w:val="75FC6AC3"/>
    <w:rsid w:val="7615076A"/>
    <w:rsid w:val="7616619B"/>
    <w:rsid w:val="76660D7C"/>
    <w:rsid w:val="766C5968"/>
    <w:rsid w:val="76BE0C8F"/>
    <w:rsid w:val="76CD53B2"/>
    <w:rsid w:val="770719AC"/>
    <w:rsid w:val="776526CC"/>
    <w:rsid w:val="77796A2D"/>
    <w:rsid w:val="77A262E1"/>
    <w:rsid w:val="77B13C33"/>
    <w:rsid w:val="77ED6F44"/>
    <w:rsid w:val="77F45548"/>
    <w:rsid w:val="781850C6"/>
    <w:rsid w:val="784E7CA6"/>
    <w:rsid w:val="78574801"/>
    <w:rsid w:val="7873527F"/>
    <w:rsid w:val="787D213D"/>
    <w:rsid w:val="790A6425"/>
    <w:rsid w:val="790E2D96"/>
    <w:rsid w:val="791B54B2"/>
    <w:rsid w:val="795A0A34"/>
    <w:rsid w:val="797339C3"/>
    <w:rsid w:val="79D57D57"/>
    <w:rsid w:val="79F00650"/>
    <w:rsid w:val="7A6242BF"/>
    <w:rsid w:val="7A794513"/>
    <w:rsid w:val="7AE952D2"/>
    <w:rsid w:val="7BFD3595"/>
    <w:rsid w:val="7C976D69"/>
    <w:rsid w:val="7CD752DA"/>
    <w:rsid w:val="7CDE40AB"/>
    <w:rsid w:val="7CF057E2"/>
    <w:rsid w:val="7D1548B5"/>
    <w:rsid w:val="7D8F646F"/>
    <w:rsid w:val="7DF84014"/>
    <w:rsid w:val="7E207949"/>
    <w:rsid w:val="7E5C0A47"/>
    <w:rsid w:val="7E670C75"/>
    <w:rsid w:val="7E932546"/>
    <w:rsid w:val="7EAB14CB"/>
    <w:rsid w:val="7EE24272"/>
    <w:rsid w:val="7EEA6053"/>
    <w:rsid w:val="7EF6784C"/>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toc 3"/>
    <w:basedOn w:val="1"/>
    <w:next w:val="1"/>
    <w:autoRedefine/>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autoRedefine/>
    <w:qFormat/>
    <w:uiPriority w:val="0"/>
  </w:style>
  <w:style w:type="paragraph" w:styleId="7">
    <w:name w:val="toc 2"/>
    <w:basedOn w:val="1"/>
    <w:next w:val="1"/>
    <w:autoRedefine/>
    <w:qFormat/>
    <w:uiPriority w:val="0"/>
    <w:pPr>
      <w:ind w:left="420" w:leftChars="200"/>
    </w:pPr>
  </w:style>
  <w:style w:type="paragraph" w:styleId="8">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autoRedefine/>
    <w:qFormat/>
    <w:uiPriority w:val="0"/>
    <w:pPr>
      <w:ind w:leftChars="400"/>
    </w:pPr>
    <w:rPr>
      <w:rFonts w:ascii="Times New Roman" w:hAnsi="Times New Roman" w:eastAsia="宋体" w:cs="Times New Roman"/>
      <w:sz w:val="20"/>
      <w:szCs w:val="20"/>
    </w:rPr>
  </w:style>
  <w:style w:type="paragraph" w:customStyle="1" w:styleId="13">
    <w:name w:val="WPSOffice手动目录 2"/>
    <w:autoRedefine/>
    <w:qFormat/>
    <w:uiPriority w:val="0"/>
    <w:pPr>
      <w:ind w:leftChars="200"/>
    </w:pPr>
    <w:rPr>
      <w:rFonts w:ascii="Times New Roman" w:hAnsi="Times New Roman" w:eastAsia="宋体" w:cs="Times New Roman"/>
      <w:sz w:val="20"/>
      <w:szCs w:val="20"/>
    </w:rPr>
  </w:style>
  <w:style w:type="paragraph" w:customStyle="1" w:styleId="14">
    <w:name w:val="WPSOffice手动目录 1"/>
    <w:autoRedefine/>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5363</Words>
  <Characters>6006</Characters>
  <Lines>0</Lines>
  <Paragraphs>0</Paragraphs>
  <TotalTime>0</TotalTime>
  <ScaleCrop>false</ScaleCrop>
  <LinksUpToDate>false</LinksUpToDate>
  <CharactersWithSpaces>6033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2024-08-27T15:54:52Z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7DE11D3802FE4F588215F10363AF57CE_13</vt:lpwstr>
  </property>
</Properties>
</file>