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106FD">
      <w:pPr>
        <w:spacing w:after="0" w:line="240" w:lineRule="auto"/>
        <w:rPr>
          <w:rFonts w:ascii="宋体" w:eastAsia="宋体"/>
          <w:sz w:val="32"/>
          <w:szCs w:val="32"/>
        </w:rPr>
      </w:pPr>
    </w:p>
    <w:p w14:paraId="7843932B">
      <w:pPr>
        <w:spacing w:after="0" w:line="240" w:lineRule="auto"/>
        <w:rPr>
          <w:rFonts w:ascii="宋体" w:eastAsia="宋体"/>
          <w:sz w:val="44"/>
          <w:szCs w:val="44"/>
        </w:rPr>
      </w:pPr>
    </w:p>
    <w:p w14:paraId="71AB9274">
      <w:pPr>
        <w:spacing w:after="0" w:line="240" w:lineRule="auto"/>
        <w:rPr>
          <w:rFonts w:ascii="宋体" w:eastAsia="宋体"/>
          <w:sz w:val="44"/>
          <w:szCs w:val="44"/>
        </w:rPr>
      </w:pPr>
    </w:p>
    <w:p w14:paraId="38EB91D8">
      <w:pPr>
        <w:spacing w:after="0" w:line="240" w:lineRule="auto"/>
        <w:rPr>
          <w:rFonts w:ascii="宋体" w:eastAsia="宋体"/>
          <w:sz w:val="44"/>
          <w:szCs w:val="44"/>
        </w:rPr>
      </w:pPr>
    </w:p>
    <w:p w14:paraId="2EFBE361">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新疆维吾尔自治区自然资源厅（本级）</w:t>
      </w:r>
    </w:p>
    <w:p w14:paraId="4DC13006">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2995E17A">
      <w:pPr>
        <w:rPr>
          <w:lang w:eastAsia="zh-CN"/>
        </w:rPr>
      </w:pPr>
      <w:r>
        <w:rPr>
          <w:sz w:val="0"/>
          <w:szCs w:val="0"/>
          <w:lang w:eastAsia="zh-CN"/>
        </w:rPr>
        <w:br w:type="page"/>
      </w:r>
    </w:p>
    <w:p w14:paraId="60E4E9C6">
      <w:pPr>
        <w:spacing w:after="0" w:line="240" w:lineRule="auto"/>
        <w:jc w:val="center"/>
        <w:rPr>
          <w:rFonts w:ascii="黑体" w:eastAsia="黑体"/>
          <w:sz w:val="32"/>
          <w:szCs w:val="32"/>
          <w:lang w:eastAsia="zh-CN"/>
        </w:rPr>
      </w:pPr>
      <w:r>
        <w:rPr>
          <w:rFonts w:ascii="黑体" w:eastAsia="黑体"/>
          <w:b/>
          <w:sz w:val="32"/>
          <w:szCs w:val="32"/>
          <w:lang w:eastAsia="zh-CN"/>
        </w:rPr>
        <w:t>目录</w:t>
      </w:r>
    </w:p>
    <w:p w14:paraId="1A960F1F">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2824FA2">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B573396">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3BD2AE22">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第二部分部门决算情况说明</w:t>
      </w:r>
    </w:p>
    <w:p w14:paraId="6A25C319">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EE5796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6BA448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A56E0C9">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33F2A76">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B06662D">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7305A01">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3205853">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6E24033">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BB77F5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0AF98D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B73D692">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DED81EB">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0B8AA3C5">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EC8520F">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4CDD61C">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BDD9BF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E71E2C9">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607FDF9">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第三部分专业名词解释</w:t>
      </w:r>
    </w:p>
    <w:p w14:paraId="0BE7284F">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第四部分部门决算报表（见附表）</w:t>
      </w:r>
    </w:p>
    <w:p w14:paraId="24C45D61">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1C7A7E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2E3E712">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AC266B2">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5164B6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2C697C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331DC64">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839962D">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2A6D5E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15F3EC4">
      <w:pPr>
        <w:rPr>
          <w:lang w:eastAsia="zh-CN"/>
        </w:rPr>
      </w:pPr>
      <w:r>
        <w:rPr>
          <w:sz w:val="0"/>
          <w:szCs w:val="0"/>
          <w:lang w:eastAsia="zh-CN"/>
        </w:rPr>
        <w:br w:type="page"/>
      </w:r>
    </w:p>
    <w:p w14:paraId="25337931">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1AA598E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0B6FD10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(一)履行全民所有土地、矿产、森林、草原、湿地</w:t>
      </w:r>
      <w:r>
        <w:rPr>
          <w:rFonts w:hint="eastAsia" w:ascii="仿宋_GB2312" w:eastAsia="仿宋_GB2312"/>
          <w:sz w:val="32"/>
          <w:szCs w:val="32"/>
          <w:lang w:eastAsia="zh-CN"/>
        </w:rPr>
        <w:t>、</w:t>
      </w:r>
      <w:r>
        <w:rPr>
          <w:rFonts w:ascii="仿宋_GB2312" w:eastAsia="仿宋_GB2312"/>
          <w:sz w:val="32"/>
          <w:szCs w:val="32"/>
          <w:lang w:eastAsia="zh-CN"/>
        </w:rPr>
        <w:t>水等自然资源资产所有者职责和所有国土空间用途管制职责</w:t>
      </w:r>
      <w:r>
        <w:rPr>
          <w:rFonts w:hint="eastAsia" w:ascii="仿宋_GB2312" w:eastAsia="仿宋_GB2312"/>
          <w:sz w:val="32"/>
          <w:szCs w:val="32"/>
          <w:lang w:eastAsia="zh-CN"/>
        </w:rPr>
        <w:t>。</w:t>
      </w:r>
      <w:r>
        <w:rPr>
          <w:rFonts w:ascii="仿宋_GB2312" w:eastAsia="仿宋_GB2312"/>
          <w:sz w:val="32"/>
          <w:szCs w:val="32"/>
          <w:lang w:eastAsia="zh-CN"/>
        </w:rPr>
        <w:t>贯彻执行自然资源和国土空间规划及测绘等法律法规，起草自治区自然资源和国土空间规划及测绘等地方性法规和政府规章草案并监督检查执行情况。</w:t>
      </w:r>
    </w:p>
    <w:p w14:paraId="56CDC02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p>
    <w:p w14:paraId="492CC0E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p>
    <w:p w14:paraId="3F3E54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p>
    <w:p w14:paraId="21B1BB8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p>
    <w:p w14:paraId="21C3EB8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(六)负责建立空间规划体系并监督实施。推进自治区主体功能区战略和制度，组织编制并监督实施国土空间规划和相关专项规划。开展自治区国土空间开发适宜性评价</w:t>
      </w:r>
      <w:r>
        <w:rPr>
          <w:rFonts w:hint="eastAsia" w:ascii="仿宋_GB2312" w:eastAsia="仿宋_GB2312"/>
          <w:sz w:val="32"/>
          <w:szCs w:val="32"/>
          <w:lang w:eastAsia="zh-CN"/>
        </w:rPr>
        <w:t>，</w:t>
      </w:r>
      <w:r>
        <w:rPr>
          <w:rFonts w:ascii="仿宋_GB2312" w:eastAsia="仿宋_GB2312"/>
          <w:sz w:val="32"/>
          <w:szCs w:val="32"/>
          <w:lang w:eastAsia="zh-CN"/>
        </w:rPr>
        <w:t>建立国土空间规划实施监测、评估和预警体系。组织划定自治区生态保护红线、永久基本农田、城镇开发边界等控制线，构建节约资源和保护环境的生产、生活、生态空间布局。建立健全自治区国土空间用途管制制度，研究拟订城乡规划政策并监督实施。组织拟订并实施自治区土地等自然资源年度利用计划。负责自治区土地等国土空间用途转用工作。负责自治区土地征收征用管理。</w:t>
      </w:r>
    </w:p>
    <w:p w14:paraId="3AEAE31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负责统筹国土空间生态修复。牵头组织编制自治区国土空间生态修复规划并实施有关生态修复重大工程。负责自治区国土空间综合整治、土地整理复垦、矿山地质环境恢复治理等工作。牵头拟订和实施自治区生态保护补偿制度，拟订合理利用社会资金进行生态修复的政策措施，提出重大备选项目。</w:t>
      </w:r>
    </w:p>
    <w:p w14:paraId="05AE82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负责组织实施最严格的耕地保护制度。贯彻执行国家耕地保护政策并牵头拟订和实施自治区有关政策，负责耕地数量、质量、生态保护。组织实施自治区耕地保护责任目标考核和永久基本农田特殊保护。完善自治区耕地占补平衡制度，监督占用耕地补偿制度执行情况。</w:t>
      </w:r>
    </w:p>
    <w:p w14:paraId="3D3654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九)负责管理地质勘查行业和全区地质工作。编制自治区地质勘查规划并监督检查执行情况。管理自治区级地质勘查项目。组织实施自治区重大地质矿产勘查专项。负责自治区地质灾害预防和治理，监督管理地下水过量开采及引发的地面沉降等地质问题。负责自治区古生物化石的监督管理。</w:t>
      </w:r>
    </w:p>
    <w:p w14:paraId="5575253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负责落实综合防灾减灾规划相关要求，组织编制自治区地质灾害防治规划和防护标准并指导实施。组织指导协调和监督自治区地质灾害调查评价及隐患的普查、详查、排查。指导开展群测群防、专业监测和预报预警等工作，指导开展地质灾害工程治理工作。承担自治区地质灾害应急救援的技术支撑工作。</w:t>
      </w:r>
    </w:p>
    <w:p w14:paraId="4859BB7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一)负责矿产资源管理工作。负责自治区矿产资源储量管理及压覆矿产资源审批。负责自治区矿业权管理。会同有关部门承担自治区保护性开采的特定矿种、优势矿产的调控及相关管理工作。监督指导全区矿产资源合理利用和保护。</w:t>
      </w:r>
    </w:p>
    <w:p w14:paraId="5800D39F">
      <w:pPr>
        <w:numPr>
          <w:ilvl w:val="0"/>
          <w:numId w:val="1"/>
        </w:num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负责测绘地理信息管理工作。负责自治区基础测绘和测绘行业管理。负责自治区测绘资质资格与信用管理</w:t>
      </w:r>
      <w:r>
        <w:rPr>
          <w:rFonts w:hint="eastAsia" w:ascii="仿宋_GB2312" w:eastAsia="仿宋_GB2312"/>
          <w:sz w:val="32"/>
          <w:szCs w:val="32"/>
          <w:lang w:eastAsia="zh-CN"/>
        </w:rPr>
        <w:t>，</w:t>
      </w:r>
      <w:r>
        <w:rPr>
          <w:rFonts w:ascii="仿宋_GB2312" w:eastAsia="仿宋_GB2312"/>
          <w:sz w:val="32"/>
          <w:szCs w:val="32"/>
          <w:lang w:eastAsia="zh-CN"/>
        </w:rPr>
        <w:t>监督管理自治区地理信息安全和市场秩序。负责自治区地理信息公共服务管理。负责自治区测量标志保护。</w:t>
      </w:r>
    </w:p>
    <w:p w14:paraId="652BE4A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十三)推动自然资源领域科技发展。制定并实施自治区自然资源领域科技创新发展和人才培养战略、规划和计划。组织监督实施技术标准、规程规范。组织实施自治区重大科技工程及创新能力建设，推进自然资源信息化和信息资料的公共服务。组织参与自然资源领域对外交流合作</w:t>
      </w:r>
      <w:r>
        <w:rPr>
          <w:rFonts w:hint="eastAsia" w:ascii="仿宋_GB2312" w:eastAsia="仿宋_GB2312"/>
          <w:sz w:val="32"/>
          <w:szCs w:val="32"/>
          <w:lang w:eastAsia="zh-CN"/>
        </w:rPr>
        <w:t>。</w:t>
      </w:r>
    </w:p>
    <w:p w14:paraId="564EC56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50A4D4C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新疆维吾尔自治区自然资源厅</w:t>
      </w:r>
      <w:r>
        <w:rPr>
          <w:rFonts w:hint="eastAsia" w:ascii="仿宋_GB2312" w:eastAsia="仿宋_GB2312"/>
          <w:sz w:val="32"/>
          <w:szCs w:val="32"/>
          <w:lang w:eastAsia="zh-CN"/>
        </w:rPr>
        <w:t>（本级）</w:t>
      </w:r>
      <w:r>
        <w:rPr>
          <w:rFonts w:ascii="仿宋_GB2312" w:eastAsia="仿宋_GB2312"/>
          <w:sz w:val="32"/>
          <w:szCs w:val="32"/>
          <w:lang w:eastAsia="zh-CN"/>
        </w:rPr>
        <w:t>无下属预算单位</w:t>
      </w:r>
      <w:r>
        <w:rPr>
          <w:rFonts w:hint="eastAsia" w:ascii="仿宋_GB2312" w:eastAsia="仿宋_GB2312"/>
          <w:sz w:val="32"/>
          <w:szCs w:val="32"/>
          <w:lang w:eastAsia="zh-CN"/>
        </w:rPr>
        <w:t>。</w:t>
      </w:r>
    </w:p>
    <w:p w14:paraId="766B03FF">
      <w:pPr>
        <w:spacing w:after="0" w:line="240" w:lineRule="auto"/>
        <w:ind w:firstLine="640" w:firstLineChars="200"/>
        <w:jc w:val="both"/>
        <w:rPr>
          <w:rFonts w:hint="eastAsia" w:ascii="仿宋_GB2312" w:eastAsia="仿宋_GB2312"/>
          <w:sz w:val="32"/>
          <w:szCs w:val="32"/>
          <w:lang w:eastAsia="zh-CN"/>
        </w:rPr>
      </w:pPr>
    </w:p>
    <w:p w14:paraId="78F4F23E">
      <w:pPr>
        <w:spacing w:after="0" w:line="240" w:lineRule="auto"/>
        <w:ind w:firstLine="640" w:firstLineChars="200"/>
        <w:jc w:val="both"/>
        <w:rPr>
          <w:rFonts w:ascii="仿宋_GB2312" w:eastAsia="仿宋_GB2312"/>
          <w:sz w:val="32"/>
          <w:szCs w:val="32"/>
          <w:lang w:eastAsia="zh-CN"/>
        </w:rPr>
      </w:pPr>
    </w:p>
    <w:p w14:paraId="0A94F639">
      <w:pPr>
        <w:spacing w:after="0" w:line="240" w:lineRule="auto"/>
        <w:ind w:firstLine="640" w:firstLineChars="200"/>
        <w:jc w:val="both"/>
        <w:rPr>
          <w:rFonts w:ascii="仿宋_GB2312" w:eastAsia="仿宋_GB2312"/>
          <w:sz w:val="32"/>
          <w:szCs w:val="32"/>
          <w:lang w:eastAsia="zh-CN"/>
        </w:rPr>
      </w:pPr>
    </w:p>
    <w:p w14:paraId="2084F1A5">
      <w:pPr>
        <w:spacing w:after="0" w:line="240" w:lineRule="auto"/>
        <w:ind w:firstLine="640" w:firstLineChars="200"/>
        <w:jc w:val="both"/>
        <w:rPr>
          <w:rFonts w:ascii="仿宋_GB2312" w:eastAsia="仿宋_GB2312"/>
          <w:sz w:val="32"/>
          <w:szCs w:val="32"/>
          <w:lang w:eastAsia="zh-CN"/>
        </w:rPr>
      </w:pPr>
    </w:p>
    <w:p w14:paraId="1700D58B">
      <w:pPr>
        <w:spacing w:after="0" w:line="240" w:lineRule="auto"/>
        <w:ind w:firstLine="640" w:firstLineChars="200"/>
        <w:jc w:val="both"/>
        <w:rPr>
          <w:rFonts w:ascii="仿宋_GB2312" w:eastAsia="仿宋_GB2312"/>
          <w:sz w:val="32"/>
          <w:szCs w:val="32"/>
          <w:lang w:eastAsia="zh-CN"/>
        </w:rPr>
      </w:pPr>
    </w:p>
    <w:p w14:paraId="1D255DC5">
      <w:pPr>
        <w:spacing w:after="0" w:line="240" w:lineRule="auto"/>
        <w:ind w:firstLine="640" w:firstLineChars="200"/>
        <w:jc w:val="both"/>
        <w:rPr>
          <w:rFonts w:ascii="仿宋_GB2312" w:eastAsia="仿宋_GB2312"/>
          <w:sz w:val="32"/>
          <w:szCs w:val="32"/>
          <w:lang w:eastAsia="zh-CN"/>
        </w:rPr>
      </w:pPr>
    </w:p>
    <w:p w14:paraId="2866701D">
      <w:pPr>
        <w:spacing w:after="0" w:line="240" w:lineRule="auto"/>
        <w:ind w:firstLine="640" w:firstLineChars="200"/>
        <w:jc w:val="both"/>
        <w:rPr>
          <w:rFonts w:ascii="仿宋_GB2312" w:eastAsia="仿宋_GB2312"/>
          <w:sz w:val="32"/>
          <w:szCs w:val="32"/>
          <w:lang w:eastAsia="zh-CN"/>
        </w:rPr>
      </w:pPr>
    </w:p>
    <w:p w14:paraId="2931AFEE">
      <w:pPr>
        <w:spacing w:after="0" w:line="240" w:lineRule="auto"/>
        <w:ind w:firstLine="640" w:firstLineChars="200"/>
        <w:jc w:val="both"/>
        <w:rPr>
          <w:rFonts w:ascii="仿宋_GB2312" w:eastAsia="仿宋_GB2312"/>
          <w:sz w:val="32"/>
          <w:szCs w:val="32"/>
          <w:lang w:eastAsia="zh-CN"/>
        </w:rPr>
      </w:pPr>
    </w:p>
    <w:p w14:paraId="7A3FE43E">
      <w:pPr>
        <w:spacing w:after="0" w:line="240" w:lineRule="auto"/>
        <w:ind w:firstLine="640" w:firstLineChars="200"/>
        <w:jc w:val="both"/>
        <w:rPr>
          <w:rFonts w:ascii="仿宋_GB2312" w:eastAsia="仿宋_GB2312"/>
          <w:sz w:val="32"/>
          <w:szCs w:val="32"/>
          <w:lang w:eastAsia="zh-CN"/>
        </w:rPr>
      </w:pPr>
    </w:p>
    <w:p w14:paraId="757138FE">
      <w:pPr>
        <w:spacing w:after="0" w:line="240" w:lineRule="auto"/>
        <w:ind w:firstLine="640" w:firstLineChars="200"/>
        <w:jc w:val="both"/>
        <w:rPr>
          <w:rFonts w:ascii="仿宋_GB2312" w:eastAsia="仿宋_GB2312"/>
          <w:sz w:val="32"/>
          <w:szCs w:val="32"/>
          <w:lang w:eastAsia="zh-CN"/>
        </w:rPr>
      </w:pPr>
    </w:p>
    <w:p w14:paraId="77BD8863">
      <w:pPr>
        <w:spacing w:after="0" w:line="240" w:lineRule="auto"/>
        <w:ind w:firstLine="640" w:firstLineChars="200"/>
        <w:jc w:val="both"/>
        <w:rPr>
          <w:rFonts w:ascii="仿宋_GB2312" w:eastAsia="仿宋_GB2312"/>
          <w:sz w:val="32"/>
          <w:szCs w:val="32"/>
          <w:lang w:eastAsia="zh-CN"/>
        </w:rPr>
      </w:pPr>
    </w:p>
    <w:p w14:paraId="51A57A31">
      <w:pPr>
        <w:spacing w:after="0" w:line="240" w:lineRule="auto"/>
        <w:ind w:firstLine="640" w:firstLineChars="200"/>
        <w:jc w:val="both"/>
        <w:rPr>
          <w:rFonts w:ascii="仿宋_GB2312" w:eastAsia="仿宋_GB2312"/>
          <w:sz w:val="32"/>
          <w:szCs w:val="32"/>
          <w:lang w:eastAsia="zh-CN"/>
        </w:rPr>
      </w:pPr>
    </w:p>
    <w:p w14:paraId="0057D1E4">
      <w:pPr>
        <w:spacing w:after="0" w:line="240" w:lineRule="auto"/>
        <w:ind w:firstLine="640" w:firstLineChars="200"/>
        <w:jc w:val="both"/>
        <w:rPr>
          <w:rFonts w:ascii="仿宋_GB2312" w:eastAsia="仿宋_GB2312"/>
          <w:sz w:val="32"/>
          <w:szCs w:val="32"/>
          <w:lang w:eastAsia="zh-CN"/>
        </w:rPr>
      </w:pPr>
    </w:p>
    <w:p w14:paraId="1166CFE3">
      <w:pPr>
        <w:spacing w:after="0" w:line="240" w:lineRule="auto"/>
        <w:ind w:firstLine="640" w:firstLineChars="200"/>
        <w:jc w:val="both"/>
        <w:rPr>
          <w:rFonts w:ascii="仿宋_GB2312" w:eastAsia="仿宋_GB2312"/>
          <w:sz w:val="32"/>
          <w:szCs w:val="32"/>
          <w:lang w:eastAsia="zh-CN"/>
        </w:rPr>
      </w:pPr>
    </w:p>
    <w:p w14:paraId="32A563A8">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第二部分部门决算情况说明</w:t>
      </w:r>
    </w:p>
    <w:p w14:paraId="2B4B8A7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37D95F2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2025年度收入总计13,462.92万元，其中：本年收入合计11,637.02万元，使用非财政拨款结余（含专用结余）0.00万元，年初结转和结余1,825.90万元。</w:t>
      </w:r>
    </w:p>
    <w:p w14:paraId="78BE757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2025年度支出总计13,462.92万元，其中：本年支出合计10,251.56万元，结余分配0.00万元，年末结转和结余3,211.36万元。</w:t>
      </w:r>
    </w:p>
    <w:p w14:paraId="089A671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收入支出总体与上年相比，减少7,431.29万元，下降35.57%，主要原因是：2025年建设自然资源档案库（馆）、自然资源档案库（馆）室外科普园、自治区地质博物馆提升改造项目减少</w:t>
      </w:r>
      <w:r>
        <w:rPr>
          <w:rFonts w:hint="eastAsia" w:ascii="仿宋_GB2312" w:eastAsia="仿宋_GB2312"/>
          <w:sz w:val="32"/>
          <w:szCs w:val="32"/>
          <w:lang w:eastAsia="zh-CN"/>
        </w:rPr>
        <w:t>，相应经费减少</w:t>
      </w:r>
      <w:r>
        <w:rPr>
          <w:rFonts w:ascii="仿宋_GB2312" w:eastAsia="仿宋_GB2312"/>
          <w:sz w:val="32"/>
          <w:szCs w:val="32"/>
          <w:lang w:eastAsia="zh-CN"/>
        </w:rPr>
        <w:t>。</w:t>
      </w:r>
    </w:p>
    <w:p w14:paraId="2547B2D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14B87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11,637.02万元，其中：财政拨款收入7,906.79万元,占67.95%；上级补助收入0.00万元,占0.00%；事业收入0.00万元，占0.00%；经营收入0.00万元,占0.00%；附属单位上缴收入0.00万元，占0.00%；其他收入3,730.23万元，占32.05%。</w:t>
      </w:r>
    </w:p>
    <w:p w14:paraId="153EB63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3DC31DE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本年支出10,251.56万元，其中：基本支出5,643.38万元，占55.05%；项目支出4,608.18万元，占44.95%；上缴上级支出0.00万元，占0.00%；经营支出0.00万元，占0.00%；对附属单位补助支出0.00万元，占0.00%。</w:t>
      </w:r>
    </w:p>
    <w:p w14:paraId="1BAEF96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430747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7,906.79万元，其中：年初财政拨款结转和结余0.00万元，本年财政拨款收入7,906.79万元。财政拨款支出总计7,906.79万元，其中：年末财政拨款结转和结余0.00万元，本年财政拨款支出7,906.79万元。</w:t>
      </w:r>
    </w:p>
    <w:p w14:paraId="7D0CDEB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财政拨款收入支出总体与上年相比，减少6,527.87万元，下降45.22%，主要原因是：2025年</w:t>
      </w:r>
      <w:r>
        <w:rPr>
          <w:rFonts w:hint="eastAsia" w:ascii="仿宋_GB2312" w:eastAsia="仿宋_GB2312"/>
          <w:sz w:val="32"/>
          <w:szCs w:val="32"/>
          <w:lang w:eastAsia="zh-CN"/>
        </w:rPr>
        <w:t>减少</w:t>
      </w:r>
      <w:r>
        <w:rPr>
          <w:rFonts w:ascii="仿宋_GB2312" w:eastAsia="仿宋_GB2312"/>
          <w:sz w:val="32"/>
          <w:szCs w:val="32"/>
          <w:lang w:eastAsia="zh-CN"/>
        </w:rPr>
        <w:t>自然资源档案库（馆）建设、自治区自然</w:t>
      </w:r>
      <w:r>
        <w:rPr>
          <w:rFonts w:hint="eastAsia" w:ascii="仿宋_GB2312" w:eastAsia="仿宋_GB2312"/>
          <w:sz w:val="32"/>
          <w:szCs w:val="32"/>
          <w:lang w:eastAsia="zh-CN"/>
        </w:rPr>
        <w:t>资源</w:t>
      </w:r>
      <w:r>
        <w:rPr>
          <w:rFonts w:ascii="仿宋_GB2312" w:eastAsia="仿宋_GB2312"/>
          <w:sz w:val="32"/>
          <w:szCs w:val="32"/>
          <w:lang w:eastAsia="zh-CN"/>
        </w:rPr>
        <w:t>地质博物馆提升改造等基建项目财政拨款</w:t>
      </w:r>
      <w:r>
        <w:rPr>
          <w:rFonts w:hint="eastAsia" w:ascii="仿宋_GB2312" w:eastAsia="仿宋_GB2312"/>
          <w:sz w:val="32"/>
          <w:szCs w:val="32"/>
          <w:lang w:eastAsia="zh-CN"/>
        </w:rPr>
        <w:t>经费</w:t>
      </w:r>
      <w:r>
        <w:rPr>
          <w:rFonts w:ascii="仿宋_GB2312" w:eastAsia="仿宋_GB2312"/>
          <w:sz w:val="32"/>
          <w:szCs w:val="32"/>
          <w:lang w:eastAsia="zh-CN"/>
        </w:rPr>
        <w:t>。与年初预算相比，年初预算数6,653.19万元，决算数7,906.79万元，预决算差异率18.84%，主要原因是：年中追加2024年度考核奖、访惠聚工作经费、南疆工作补贴及驻村人员生活补助、民族团结一家亲结对认亲交通费、退休、调出人员职业年金申拨和记实2025年职业年金、去世人员丧葬费抚恤金、调整基本工资、探矿者年会等项目</w:t>
      </w:r>
      <w:r>
        <w:rPr>
          <w:rFonts w:hint="eastAsia" w:ascii="仿宋_GB2312" w:eastAsia="仿宋_GB2312"/>
          <w:sz w:val="32"/>
          <w:szCs w:val="32"/>
          <w:lang w:eastAsia="zh-CN"/>
        </w:rPr>
        <w:t>经费</w:t>
      </w:r>
      <w:r>
        <w:rPr>
          <w:rFonts w:ascii="仿宋_GB2312" w:eastAsia="仿宋_GB2312"/>
          <w:sz w:val="32"/>
          <w:szCs w:val="32"/>
          <w:lang w:eastAsia="zh-CN"/>
        </w:rPr>
        <w:t>。</w:t>
      </w:r>
    </w:p>
    <w:p w14:paraId="0B0447C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FA2FA2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单位日常运转、完成重点工作任务等重点支出，体现在有关支出科目中。</w:t>
      </w:r>
    </w:p>
    <w:p w14:paraId="5FAA260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按照支出功能分类，自然资源海洋气象等支出（类）自然资源事务（款）行政运行（项）的支出占本年财政拨款支出总额的比重最高，2025年度决算数为3,692.97万元，占比46.71%，主要用于</w:t>
      </w:r>
      <w:r>
        <w:rPr>
          <w:rFonts w:hint="eastAsia" w:ascii="仿宋_GB2312" w:eastAsia="仿宋_GB2312"/>
          <w:sz w:val="32"/>
          <w:szCs w:val="32"/>
          <w:lang w:eastAsia="zh-CN"/>
        </w:rPr>
        <w:t>在职人员基本工资、津贴补贴、奖金、退休人员的相关支出、</w:t>
      </w:r>
      <w:r>
        <w:rPr>
          <w:rFonts w:ascii="仿宋_GB2312" w:eastAsia="仿宋_GB2312"/>
          <w:sz w:val="32"/>
          <w:szCs w:val="32"/>
          <w:lang w:eastAsia="zh-CN"/>
        </w:rPr>
        <w:t>2024年度考核奖、“访惠聚”工作经费及驻村人员生活补助、“民族团结一家亲”结对认亲交通费、退休、调出人员职业年金、去世人员丧葬费抚恤金、驻村南疆工作补贴经费</w:t>
      </w:r>
      <w:r>
        <w:rPr>
          <w:rFonts w:hint="eastAsia" w:ascii="仿宋_GB2312" w:eastAsia="仿宋_GB2312"/>
          <w:sz w:val="32"/>
          <w:szCs w:val="32"/>
          <w:lang w:eastAsia="zh-CN"/>
        </w:rPr>
        <w:t>。</w:t>
      </w:r>
    </w:p>
    <w:p w14:paraId="303C0E49">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F5D89B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2025年度一般公共预算财政拨款支出7,906.79万元，占本年支出合计的77.13%。与上年相比，减少6,527.87万元，下降45.22%，主要原因是：2025年</w:t>
      </w:r>
      <w:r>
        <w:rPr>
          <w:rFonts w:hint="eastAsia" w:ascii="仿宋_GB2312" w:eastAsia="仿宋_GB2312"/>
          <w:sz w:val="32"/>
          <w:szCs w:val="32"/>
          <w:lang w:eastAsia="zh-CN"/>
        </w:rPr>
        <w:t>减少</w:t>
      </w:r>
      <w:r>
        <w:rPr>
          <w:rFonts w:ascii="仿宋_GB2312" w:eastAsia="仿宋_GB2312"/>
          <w:sz w:val="32"/>
          <w:szCs w:val="32"/>
          <w:lang w:eastAsia="zh-CN"/>
        </w:rPr>
        <w:t>自然资源档案库（馆）建设、自治区自然</w:t>
      </w:r>
      <w:r>
        <w:rPr>
          <w:rFonts w:hint="eastAsia" w:ascii="仿宋_GB2312" w:eastAsia="仿宋_GB2312"/>
          <w:sz w:val="32"/>
          <w:szCs w:val="32"/>
          <w:lang w:val="en-US" w:eastAsia="zh-CN"/>
        </w:rPr>
        <w:t>资源</w:t>
      </w:r>
      <w:r>
        <w:rPr>
          <w:rFonts w:ascii="仿宋_GB2312" w:eastAsia="仿宋_GB2312"/>
          <w:sz w:val="32"/>
          <w:szCs w:val="32"/>
          <w:lang w:eastAsia="zh-CN"/>
        </w:rPr>
        <w:t>地质博物馆提升改造等基建项目财政拨款</w:t>
      </w:r>
      <w:r>
        <w:rPr>
          <w:rFonts w:hint="eastAsia" w:ascii="仿宋_GB2312" w:eastAsia="仿宋_GB2312"/>
          <w:sz w:val="32"/>
          <w:szCs w:val="32"/>
          <w:lang w:eastAsia="zh-CN"/>
        </w:rPr>
        <w:t>经费</w:t>
      </w:r>
      <w:r>
        <w:rPr>
          <w:rFonts w:ascii="仿宋_GB2312" w:eastAsia="仿宋_GB2312"/>
          <w:sz w:val="32"/>
          <w:szCs w:val="32"/>
          <w:lang w:eastAsia="zh-CN"/>
        </w:rPr>
        <w:t>。与年初预算相比，年初预算数6,653.19万元，决算数7,906.79万元，预决算差异率18.84%，主要原因是：年中追加2024年度考核奖、访惠聚工作经费、南疆工作补贴及驻村人员生活补助、民族团结一家亲结对认亲交通费、退休、调出人员职业年金申拨和记实2025年职业年金、去世人员丧葬费抚恤金、调整基本工资、探矿者年会等项目</w:t>
      </w:r>
      <w:r>
        <w:rPr>
          <w:rFonts w:hint="eastAsia" w:ascii="仿宋_GB2312" w:eastAsia="仿宋_GB2312"/>
          <w:sz w:val="32"/>
          <w:szCs w:val="32"/>
          <w:lang w:eastAsia="zh-CN"/>
        </w:rPr>
        <w:t>经费</w:t>
      </w:r>
      <w:r>
        <w:rPr>
          <w:rFonts w:ascii="仿宋_GB2312" w:eastAsia="仿宋_GB2312"/>
          <w:sz w:val="32"/>
          <w:szCs w:val="32"/>
          <w:lang w:eastAsia="zh-CN"/>
        </w:rPr>
        <w:t>。</w:t>
      </w:r>
    </w:p>
    <w:p w14:paraId="300207F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60D556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1.社会保障和就业支出（类）1,276.65万元，占16.15%。</w:t>
      </w:r>
    </w:p>
    <w:p w14:paraId="6CF97E6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2.</w:t>
      </w:r>
      <w:r>
        <w:rPr>
          <w:rFonts w:ascii="仿宋_GB2312" w:eastAsia="仿宋_GB2312"/>
          <w:sz w:val="32"/>
          <w:szCs w:val="32"/>
          <w:lang w:eastAsia="zh-CN"/>
        </w:rPr>
        <w:t>卫生健康支出（类）377.55万元，占4.78%。</w:t>
      </w:r>
    </w:p>
    <w:p w14:paraId="1682189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3.</w:t>
      </w:r>
      <w:r>
        <w:rPr>
          <w:rFonts w:ascii="仿宋_GB2312" w:eastAsia="仿宋_GB2312"/>
          <w:sz w:val="32"/>
          <w:szCs w:val="32"/>
          <w:lang w:eastAsia="zh-CN"/>
        </w:rPr>
        <w:t>自然资源海洋气象等支出（类）5,956.38万元，占75.33%。</w:t>
      </w:r>
    </w:p>
    <w:p w14:paraId="5253C31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4.</w:t>
      </w:r>
      <w:r>
        <w:rPr>
          <w:rFonts w:ascii="仿宋_GB2312" w:eastAsia="仿宋_GB2312"/>
          <w:sz w:val="32"/>
          <w:szCs w:val="32"/>
          <w:lang w:eastAsia="zh-CN"/>
        </w:rPr>
        <w:t>住房保障支出（类）296.21万元，占3.75%。</w:t>
      </w:r>
    </w:p>
    <w:p w14:paraId="15F56632">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34D651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社会保障和就业支出（类）行政事业单位养老支出（款）行政单位离退休（项）：支出决算数为573.41万元，比上年决算增加71.79万元，增长14.31%，主要原因是：本年度退休人员奖励性绩效增加。</w:t>
      </w:r>
    </w:p>
    <w:p w14:paraId="53F56A0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社会保障和就业支出（类）行政事业单位养老支出（款）机关事业单位基本养老保险缴费支出（项）：支出决算数为360.06万元，比上年决算减少21.94万元，下降5.74%，主要原因是：</w:t>
      </w:r>
      <w:r>
        <w:rPr>
          <w:rFonts w:hint="eastAsia" w:ascii="仿宋_GB2312" w:eastAsia="仿宋_GB2312"/>
          <w:sz w:val="32"/>
          <w:szCs w:val="32"/>
          <w:lang w:eastAsia="zh-CN"/>
        </w:rPr>
        <w:t>本年</w:t>
      </w:r>
      <w:r>
        <w:rPr>
          <w:rFonts w:ascii="仿宋_GB2312" w:eastAsia="仿宋_GB2312"/>
          <w:sz w:val="32"/>
          <w:szCs w:val="32"/>
          <w:lang w:eastAsia="zh-CN"/>
        </w:rPr>
        <w:t>在职转退</w:t>
      </w:r>
      <w:r>
        <w:rPr>
          <w:rFonts w:hint="eastAsia" w:ascii="仿宋_GB2312" w:eastAsia="仿宋_GB2312"/>
          <w:sz w:val="32"/>
          <w:szCs w:val="32"/>
          <w:lang w:eastAsia="zh-CN"/>
        </w:rPr>
        <w:t>休人员的社保缴费基数较高，导致相应的</w:t>
      </w:r>
      <w:r>
        <w:rPr>
          <w:rFonts w:ascii="仿宋_GB2312" w:eastAsia="仿宋_GB2312"/>
          <w:sz w:val="32"/>
          <w:szCs w:val="32"/>
          <w:lang w:eastAsia="zh-CN"/>
        </w:rPr>
        <w:t>机关事业单位基本养老保险缴费支出</w:t>
      </w:r>
      <w:r>
        <w:rPr>
          <w:rFonts w:hint="eastAsia" w:ascii="仿宋_GB2312" w:eastAsia="仿宋_GB2312"/>
          <w:sz w:val="32"/>
          <w:szCs w:val="32"/>
          <w:lang w:eastAsia="zh-CN"/>
        </w:rPr>
        <w:t>较上年减少</w:t>
      </w:r>
      <w:r>
        <w:rPr>
          <w:rFonts w:ascii="仿宋_GB2312" w:eastAsia="仿宋_GB2312"/>
          <w:sz w:val="32"/>
          <w:szCs w:val="32"/>
          <w:lang w:eastAsia="zh-CN"/>
        </w:rPr>
        <w:t>。</w:t>
      </w:r>
    </w:p>
    <w:p w14:paraId="4DF1C38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社会保障和就业支出（类）行政事业单位养老支出（款）机关事业单位职业年金缴费支出（项）：支出决算数为343.19万元，比上年决算增加230.63万元，增长204.90%，主要原因是：年中</w:t>
      </w:r>
      <w:r>
        <w:rPr>
          <w:rFonts w:hint="eastAsia" w:ascii="仿宋_GB2312" w:eastAsia="仿宋_GB2312"/>
          <w:sz w:val="32"/>
          <w:szCs w:val="32"/>
          <w:lang w:eastAsia="zh-CN"/>
        </w:rPr>
        <w:t>增加</w:t>
      </w:r>
      <w:r>
        <w:rPr>
          <w:rFonts w:ascii="仿宋_GB2312" w:eastAsia="仿宋_GB2312"/>
          <w:sz w:val="32"/>
          <w:szCs w:val="32"/>
          <w:lang w:eastAsia="zh-CN"/>
        </w:rPr>
        <w:t>退休、调出人员职业年金</w:t>
      </w:r>
      <w:r>
        <w:rPr>
          <w:rFonts w:hint="eastAsia" w:ascii="仿宋_GB2312" w:eastAsia="仿宋_GB2312"/>
          <w:sz w:val="32"/>
          <w:szCs w:val="32"/>
          <w:lang w:eastAsia="zh-CN"/>
        </w:rPr>
        <w:t>。</w:t>
      </w:r>
    </w:p>
    <w:p w14:paraId="00F10FE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行政单位医疗（项）：支出决算数为229.55万元，比上年决算增加36.97万元，增长19.20%，主要原因是：在职人员工资调整，职级职务变动，根据规定调整医保基数，基本医疗费率上升。</w:t>
      </w:r>
    </w:p>
    <w:p w14:paraId="5FC08FF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卫生健康支出（类）行政事业单位医疗（款）公务员医疗补助（项）：支出决算数为148.00万元，比上年决算减少19.13万元，下降11.45%，主要原因是：</w:t>
      </w:r>
      <w:r>
        <w:rPr>
          <w:rFonts w:hint="eastAsia" w:ascii="仿宋_GB2312" w:eastAsia="仿宋_GB2312"/>
          <w:sz w:val="32"/>
          <w:szCs w:val="32"/>
          <w:lang w:eastAsia="zh-CN"/>
        </w:rPr>
        <w:t>本年</w:t>
      </w:r>
      <w:r>
        <w:rPr>
          <w:rFonts w:ascii="仿宋_GB2312" w:eastAsia="仿宋_GB2312"/>
          <w:sz w:val="32"/>
          <w:szCs w:val="32"/>
          <w:lang w:eastAsia="zh-CN"/>
        </w:rPr>
        <w:t>在职转退</w:t>
      </w:r>
      <w:r>
        <w:rPr>
          <w:rFonts w:hint="eastAsia" w:ascii="仿宋_GB2312" w:eastAsia="仿宋_GB2312"/>
          <w:sz w:val="32"/>
          <w:szCs w:val="32"/>
          <w:lang w:eastAsia="zh-CN"/>
        </w:rPr>
        <w:t>休人员的</w:t>
      </w:r>
      <w:r>
        <w:rPr>
          <w:rFonts w:ascii="仿宋_GB2312" w:eastAsia="仿宋_GB2312"/>
          <w:sz w:val="32"/>
          <w:szCs w:val="32"/>
          <w:lang w:eastAsia="zh-CN"/>
        </w:rPr>
        <w:t>医疗补助</w:t>
      </w:r>
      <w:r>
        <w:rPr>
          <w:rFonts w:hint="eastAsia" w:ascii="仿宋_GB2312" w:eastAsia="仿宋_GB2312"/>
          <w:sz w:val="32"/>
          <w:szCs w:val="32"/>
          <w:lang w:eastAsia="zh-CN"/>
        </w:rPr>
        <w:t>缴费基数较高，导致相应的</w:t>
      </w:r>
      <w:r>
        <w:rPr>
          <w:rFonts w:ascii="仿宋_GB2312" w:eastAsia="仿宋_GB2312"/>
          <w:sz w:val="32"/>
          <w:szCs w:val="32"/>
          <w:lang w:eastAsia="zh-CN"/>
        </w:rPr>
        <w:t>公务员医疗补助支出</w:t>
      </w:r>
      <w:r>
        <w:rPr>
          <w:rFonts w:hint="eastAsia" w:ascii="仿宋_GB2312" w:eastAsia="仿宋_GB2312"/>
          <w:sz w:val="32"/>
          <w:szCs w:val="32"/>
          <w:lang w:eastAsia="zh-CN"/>
        </w:rPr>
        <w:t>较上年减少</w:t>
      </w:r>
      <w:r>
        <w:rPr>
          <w:rFonts w:ascii="仿宋_GB2312" w:eastAsia="仿宋_GB2312"/>
          <w:sz w:val="32"/>
          <w:szCs w:val="32"/>
          <w:lang w:eastAsia="zh-CN"/>
        </w:rPr>
        <w:t>。</w:t>
      </w:r>
    </w:p>
    <w:p w14:paraId="2993367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自然资源海洋气象等支出（类）自然资源事务（款）行政运行（项）：支出决算数为3,692.97万元，比上年决算增加298.62万元，增长8.80%，主要原因是：</w:t>
      </w:r>
      <w:r>
        <w:rPr>
          <w:rFonts w:hint="eastAsia" w:ascii="仿宋_GB2312" w:eastAsia="仿宋_GB2312"/>
          <w:sz w:val="32"/>
          <w:szCs w:val="32"/>
          <w:lang w:eastAsia="zh-CN"/>
        </w:rPr>
        <w:t>本年增加</w:t>
      </w:r>
      <w:r>
        <w:rPr>
          <w:rFonts w:ascii="仿宋_GB2312" w:eastAsia="仿宋_GB2312"/>
          <w:sz w:val="32"/>
          <w:szCs w:val="32"/>
          <w:lang w:eastAsia="zh-CN"/>
        </w:rPr>
        <w:t>2024年度考核奖预算、访惠聚工作经费、南疆工作补贴及驻村人员生活补助预算、民族团结一家亲结对认亲交通费。</w:t>
      </w:r>
    </w:p>
    <w:p w14:paraId="7DD60ED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自然资源利用与保护（项）：支出决算数为240.00万元，比上年决算增加240.00万元，增长100.00%，主要原因是：重点城市地价动态监测等地政专项支出功能分类改为自然资源利用与保护</w:t>
      </w:r>
      <w:r>
        <w:rPr>
          <w:rFonts w:hint="eastAsia" w:ascii="仿宋_GB2312" w:eastAsia="仿宋_GB2312"/>
          <w:sz w:val="32"/>
          <w:szCs w:val="32"/>
          <w:lang w:eastAsia="zh-CN"/>
        </w:rPr>
        <w:t>项</w:t>
      </w:r>
      <w:r>
        <w:rPr>
          <w:rFonts w:ascii="仿宋_GB2312" w:eastAsia="仿宋_GB2312"/>
          <w:sz w:val="32"/>
          <w:szCs w:val="32"/>
          <w:lang w:eastAsia="zh-CN"/>
        </w:rPr>
        <w:t>，年中</w:t>
      </w:r>
      <w:r>
        <w:rPr>
          <w:rFonts w:hint="eastAsia" w:ascii="仿宋_GB2312" w:eastAsia="仿宋_GB2312"/>
          <w:sz w:val="32"/>
          <w:szCs w:val="32"/>
          <w:lang w:eastAsia="zh-CN"/>
        </w:rPr>
        <w:t>增加</w:t>
      </w:r>
      <w:r>
        <w:rPr>
          <w:rFonts w:ascii="仿宋_GB2312" w:eastAsia="仿宋_GB2312"/>
          <w:sz w:val="32"/>
          <w:szCs w:val="32"/>
          <w:lang w:eastAsia="zh-CN"/>
        </w:rPr>
        <w:t>“十五五”相关项目</w:t>
      </w:r>
      <w:r>
        <w:rPr>
          <w:rFonts w:hint="eastAsia" w:ascii="仿宋_GB2312" w:eastAsia="仿宋_GB2312"/>
          <w:sz w:val="32"/>
          <w:szCs w:val="32"/>
          <w:lang w:eastAsia="zh-CN"/>
        </w:rPr>
        <w:t>经费</w:t>
      </w:r>
      <w:r>
        <w:rPr>
          <w:rFonts w:ascii="仿宋_GB2312" w:eastAsia="仿宋_GB2312"/>
          <w:sz w:val="32"/>
          <w:szCs w:val="32"/>
          <w:lang w:eastAsia="zh-CN"/>
        </w:rPr>
        <w:t>。</w:t>
      </w:r>
    </w:p>
    <w:p w14:paraId="2036B0E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地质勘查与矿产资源管理（项）：支出决算数为68.46万元，比上年决算减少8.58万元，下降11.14%，主要原因是：2024年追加的《矿业权出让项目推介会（北疆）》项目为一次性项目，2025年未申请；2025年中追加探矿者年会经费和“十五五”相关项目</w:t>
      </w:r>
      <w:r>
        <w:rPr>
          <w:rFonts w:hint="eastAsia" w:ascii="仿宋_GB2312" w:eastAsia="仿宋_GB2312"/>
          <w:sz w:val="32"/>
          <w:szCs w:val="32"/>
          <w:lang w:eastAsia="zh-CN"/>
        </w:rPr>
        <w:t>，综上所述，此科目合计较上年减少</w:t>
      </w:r>
      <w:r>
        <w:rPr>
          <w:rFonts w:ascii="仿宋_GB2312" w:eastAsia="仿宋_GB2312"/>
          <w:sz w:val="32"/>
          <w:szCs w:val="32"/>
          <w:lang w:eastAsia="zh-CN"/>
        </w:rPr>
        <w:t>。</w:t>
      </w:r>
    </w:p>
    <w:p w14:paraId="60464F8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其他自然资源事务支出（项）：支出决算数为1,954.95万元，比上年决算减少4,361.65万元，下降69.05%，主要原因是：2025年建设自然资源档案库（馆）、自然资源档案库（馆）室外科普园、自治区地质博物馆提升改造项目支出减少</w:t>
      </w:r>
      <w:r>
        <w:rPr>
          <w:rFonts w:hint="eastAsia" w:ascii="仿宋_GB2312" w:eastAsia="仿宋_GB2312"/>
          <w:sz w:val="32"/>
          <w:szCs w:val="32"/>
          <w:lang w:eastAsia="zh-CN"/>
        </w:rPr>
        <w:t>。</w:t>
      </w:r>
    </w:p>
    <w:p w14:paraId="6821ED1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w:t>
      </w:r>
      <w:r>
        <w:rPr>
          <w:rFonts w:hint="eastAsia" w:ascii="仿宋_GB2312" w:eastAsia="仿宋_GB2312"/>
          <w:sz w:val="32"/>
          <w:szCs w:val="32"/>
          <w:lang w:val="en-US" w:eastAsia="zh-CN"/>
        </w:rPr>
        <w:t>.</w:t>
      </w:r>
      <w:r>
        <w:rPr>
          <w:rFonts w:ascii="仿宋_GB2312" w:eastAsia="仿宋_GB2312"/>
          <w:sz w:val="32"/>
          <w:szCs w:val="32"/>
          <w:lang w:eastAsia="zh-CN"/>
        </w:rPr>
        <w:t>住房保障支出（类）住房改革支出（款）住房公积金（项）：支出决算数为296.21万元，比上年决算增加9.71万元，增长3.39%，主要原因是：在职人员工资调整，职级职务变动，根据规定调</w:t>
      </w:r>
      <w:r>
        <w:rPr>
          <w:rFonts w:hint="eastAsia" w:ascii="仿宋_GB2312" w:eastAsia="仿宋_GB2312"/>
          <w:sz w:val="32"/>
          <w:szCs w:val="32"/>
          <w:lang w:eastAsia="zh-CN"/>
        </w:rPr>
        <w:t>增</w:t>
      </w:r>
      <w:r>
        <w:rPr>
          <w:rFonts w:ascii="仿宋_GB2312" w:eastAsia="仿宋_GB2312"/>
          <w:sz w:val="32"/>
          <w:szCs w:val="32"/>
          <w:lang w:eastAsia="zh-CN"/>
        </w:rPr>
        <w:t>公积金基数。</w:t>
      </w:r>
    </w:p>
    <w:p w14:paraId="355F882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w:t>
      </w:r>
      <w:r>
        <w:rPr>
          <w:rFonts w:hint="eastAsia" w:ascii="仿宋_GB2312" w:eastAsia="仿宋_GB2312"/>
          <w:sz w:val="32"/>
          <w:szCs w:val="32"/>
          <w:lang w:val="en-US" w:eastAsia="zh-CN"/>
        </w:rPr>
        <w:t>.</w:t>
      </w:r>
      <w:r>
        <w:rPr>
          <w:rFonts w:ascii="仿宋_GB2312" w:eastAsia="仿宋_GB2312"/>
          <w:sz w:val="32"/>
          <w:szCs w:val="32"/>
          <w:lang w:eastAsia="zh-CN"/>
        </w:rPr>
        <w:t>其他支出（类）其他支出（款）其他支出（项）：支出决算数为0.00万元，比上年决算减少3,004.28万元，下降100.00%，主要原因是：3,004.28万元系2024年自然资源资料档案库建设项目财政拨款结转经费，2025年未申请此项财政拨款</w:t>
      </w:r>
      <w:r>
        <w:rPr>
          <w:rFonts w:hint="eastAsia" w:ascii="仿宋_GB2312" w:eastAsia="仿宋_GB2312"/>
          <w:sz w:val="32"/>
          <w:szCs w:val="32"/>
          <w:lang w:eastAsia="zh-CN"/>
        </w:rPr>
        <w:t>经费</w:t>
      </w:r>
      <w:r>
        <w:rPr>
          <w:rFonts w:ascii="仿宋_GB2312" w:eastAsia="仿宋_GB2312"/>
          <w:sz w:val="32"/>
          <w:szCs w:val="32"/>
          <w:lang w:eastAsia="zh-CN"/>
        </w:rPr>
        <w:t>。</w:t>
      </w:r>
    </w:p>
    <w:p w14:paraId="70C2092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33845E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5,643.38万元，其中：人员经费5,009.02万元，包括：基本工资、津贴补贴、奖金、机关事业单位基本养老保险缴费、职业年金缴费、职工基本医疗保险缴费、公务员医疗补助缴费、其他社会保障缴费、住房公积金、离休费、退休费、抚恤金和其他对个人和家庭的补助。</w:t>
      </w:r>
    </w:p>
    <w:p w14:paraId="065BFA7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公用经费634.36万元，包括：办公费、印刷费、水费、电费、邮电费、取暖费、物业管理费、差旅费、公务接待费、工会经费、福利费、公务用车运行维护费和其他商品和服务支出。</w:t>
      </w:r>
    </w:p>
    <w:p w14:paraId="7DA2685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A40CC3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A5BDD3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626104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8B4E6F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1A74154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81.03万元，比上年增加2.01万元，增长2.54%，主要原因是：车辆购置年限长，使用时间长，公务用车运行维护费增加。其中：因公出国（境）费用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无因公出国（境）费支出；公务用车购置及运行维护费支出73.92万元，占91.23%，比上年增加2.24万元，增长3.1</w:t>
      </w:r>
      <w:r>
        <w:rPr>
          <w:rFonts w:hint="eastAsia" w:ascii="仿宋_GB2312" w:eastAsia="仿宋_GB2312"/>
          <w:sz w:val="32"/>
          <w:szCs w:val="32"/>
          <w:lang w:val="en-US" w:eastAsia="zh-CN"/>
        </w:rPr>
        <w:t>2</w:t>
      </w:r>
      <w:r>
        <w:rPr>
          <w:rFonts w:ascii="仿宋_GB2312" w:eastAsia="仿宋_GB2312"/>
          <w:sz w:val="32"/>
          <w:szCs w:val="32"/>
          <w:lang w:eastAsia="zh-CN"/>
        </w:rPr>
        <w:t>%，主要原因是：车辆购置年限长，使用时间长，维修维护</w:t>
      </w:r>
      <w:r>
        <w:rPr>
          <w:rFonts w:hint="eastAsia" w:ascii="仿宋_GB2312" w:eastAsia="仿宋_GB2312"/>
          <w:sz w:val="32"/>
          <w:szCs w:val="32"/>
          <w:lang w:eastAsia="zh-CN"/>
        </w:rPr>
        <w:t>费</w:t>
      </w:r>
      <w:r>
        <w:rPr>
          <w:rFonts w:ascii="仿宋_GB2312" w:eastAsia="仿宋_GB2312"/>
          <w:sz w:val="32"/>
          <w:szCs w:val="32"/>
          <w:lang w:eastAsia="zh-CN"/>
        </w:rPr>
        <w:t>较上年有所增加；公务接待费支出7.11万元，占8.77%，比上年减少0.23万元，下降3.13%，主要原因是：牢固树立过紧日子思想，严格遵守过紧日子政策文件</w:t>
      </w:r>
      <w:r>
        <w:rPr>
          <w:rFonts w:hint="eastAsia" w:ascii="仿宋_GB2312" w:eastAsia="仿宋_GB2312"/>
          <w:sz w:val="32"/>
          <w:szCs w:val="32"/>
          <w:lang w:eastAsia="zh-CN"/>
        </w:rPr>
        <w:t>，严控</w:t>
      </w:r>
      <w:r>
        <w:rPr>
          <w:rFonts w:ascii="仿宋_GB2312" w:eastAsia="仿宋_GB2312"/>
          <w:sz w:val="32"/>
          <w:szCs w:val="32"/>
          <w:lang w:eastAsia="zh-CN"/>
        </w:rPr>
        <w:t>公务接待费支出。</w:t>
      </w:r>
    </w:p>
    <w:p w14:paraId="4F297F8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937E3A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因公出国（境）费用0.00万元，开支内容包括我单位无因公出国（境）费支出。单位全年安排的因公出国（境）团组0个，因公出国（境）0人次。</w:t>
      </w:r>
    </w:p>
    <w:p w14:paraId="253638B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73.92万元，其中：公务用车购置费0.00万元，公务用车运行维护费73.92万元。公务用车运行维护费开支内容包括燃料费、保险费、过路费，维修费。公务用车购置数0辆，公务用车保有量29辆。国有资产占用情况中固定资产车辆29辆，与公务用车保有量差异原因是：我单位国有资产占用情况中固定资产车辆与公务用车保有量一致，无差异。</w:t>
      </w:r>
    </w:p>
    <w:p w14:paraId="30D8579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公务接待费7.11万元，开支内容包括接待上级临时安排的重大会议、重大活动所发生工作餐费等。单位全年安排的国内公务接待43批次，369人次。</w:t>
      </w:r>
    </w:p>
    <w:p w14:paraId="78896B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与全年预算相比，财政拨款“三公”经费支出全年预算数82.40万元，决算数81.03万元，预决算差异率-1.66%，主要原因是：牢固树立过紧日子思想，严格遵守过紧日子政策文件</w:t>
      </w:r>
      <w:r>
        <w:rPr>
          <w:rFonts w:hint="eastAsia" w:ascii="仿宋_GB2312" w:eastAsia="仿宋_GB2312"/>
          <w:sz w:val="32"/>
          <w:szCs w:val="32"/>
          <w:lang w:eastAsia="zh-CN"/>
        </w:rPr>
        <w:t>，严格落实中央八项规定精神，厉行节约，减少经费支出</w:t>
      </w:r>
      <w:r>
        <w:rPr>
          <w:rFonts w:ascii="仿宋_GB2312" w:eastAsia="仿宋_GB2312"/>
          <w:sz w:val="32"/>
          <w:szCs w:val="32"/>
          <w:lang w:eastAsia="zh-CN"/>
        </w:rPr>
        <w:t>。其中：因公出国（境）费用全年预算数0.00万元，决算数0.00万元，预决算差异率0.00%，主要原因是：本年无因公出国费用；公务用车购置费全年预算数0.00万元，决算数0.00万元，预决算差异率0.00%，主要原因是：本年无公务用车购置费；公务用车运行维护费全年预算数75.00万元，决算数73.92万元，预决算差异率-1.44%，主要原因是：牢固树立过紧日子思想，严格遵守过紧日子政策文件</w:t>
      </w:r>
      <w:r>
        <w:rPr>
          <w:rFonts w:hint="eastAsia" w:ascii="仿宋_GB2312" w:eastAsia="仿宋_GB2312"/>
          <w:sz w:val="32"/>
          <w:szCs w:val="32"/>
          <w:lang w:eastAsia="zh-CN"/>
        </w:rPr>
        <w:t>，严格落实中央八项规定精神，厉行节约，减少</w:t>
      </w:r>
      <w:r>
        <w:rPr>
          <w:rFonts w:ascii="仿宋_GB2312" w:eastAsia="仿宋_GB2312"/>
          <w:sz w:val="32"/>
          <w:szCs w:val="32"/>
          <w:lang w:eastAsia="zh-CN"/>
        </w:rPr>
        <w:t>公务用车运行维护费</w:t>
      </w:r>
      <w:r>
        <w:rPr>
          <w:rFonts w:hint="eastAsia" w:ascii="仿宋_GB2312" w:eastAsia="仿宋_GB2312"/>
          <w:sz w:val="32"/>
          <w:szCs w:val="32"/>
          <w:lang w:eastAsia="zh-CN"/>
        </w:rPr>
        <w:t>支出</w:t>
      </w:r>
      <w:r>
        <w:rPr>
          <w:rFonts w:ascii="仿宋_GB2312" w:eastAsia="仿宋_GB2312"/>
          <w:sz w:val="32"/>
          <w:szCs w:val="32"/>
          <w:lang w:eastAsia="zh-CN"/>
        </w:rPr>
        <w:t>；公务接待费全年预算数7.40万元，决算数7.11万元，预决算差异率-3.92%，主要原因是：牢固树立过紧日子思想，严控公务接待支出。</w:t>
      </w:r>
    </w:p>
    <w:p w14:paraId="01C1B9A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2DDB8EA6">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58BAE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2025年度新疆维吾尔自治区自然资源厅（本级）（行政单位和参照公务员法管理事业单位）机关运行经费支出634.36万元，比上年增加105.17万元，增长19.87%，主要原因是：2025年调入、新增人员数量增加</w:t>
      </w:r>
      <w:r>
        <w:rPr>
          <w:rFonts w:hint="eastAsia" w:ascii="仿宋_GB2312" w:eastAsia="仿宋_GB2312"/>
          <w:sz w:val="32"/>
          <w:szCs w:val="32"/>
          <w:lang w:eastAsia="zh-CN"/>
        </w:rPr>
        <w:t>，新增培训班，</w:t>
      </w:r>
      <w:r>
        <w:rPr>
          <w:rFonts w:ascii="仿宋_GB2312" w:eastAsia="仿宋_GB2312"/>
          <w:sz w:val="32"/>
          <w:szCs w:val="32"/>
          <w:lang w:eastAsia="zh-CN"/>
        </w:rPr>
        <w:t>机关运行经费支出</w:t>
      </w:r>
      <w:r>
        <w:rPr>
          <w:rFonts w:hint="eastAsia" w:ascii="仿宋_GB2312" w:eastAsia="仿宋_GB2312"/>
          <w:sz w:val="32"/>
          <w:szCs w:val="32"/>
          <w:lang w:eastAsia="zh-CN"/>
        </w:rPr>
        <w:t>增加</w:t>
      </w:r>
      <w:r>
        <w:rPr>
          <w:rFonts w:ascii="仿宋_GB2312" w:eastAsia="仿宋_GB2312"/>
          <w:sz w:val="32"/>
          <w:szCs w:val="32"/>
          <w:lang w:eastAsia="zh-CN"/>
        </w:rPr>
        <w:t>。</w:t>
      </w:r>
    </w:p>
    <w:p w14:paraId="03A09FD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7FEDE8E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2025年度政府采购支出总额769.67万元，其中：政府采购货物支出175.85万元、政府采购工程支出0.00万元、政府采购服务支出593.81万元。</w:t>
      </w:r>
    </w:p>
    <w:p w14:paraId="4C2375E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授予中小企业合同金额568.65万元，占政府采购支出总额的73.88%，其中：授予小微企业合同金额529.02万元，占政府采购支出总额的68.73%。</w:t>
      </w:r>
    </w:p>
    <w:p w14:paraId="0AF1FD16">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3210B23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截至2025年12月31日，房屋82,113.79平方米，价值27,377.62万元。</w:t>
      </w:r>
      <w:r>
        <w:rPr>
          <w:rFonts w:ascii="仿宋_GB2312" w:eastAsia="仿宋_GB2312"/>
          <w:sz w:val="32"/>
          <w:szCs w:val="32"/>
          <w:lang w:eastAsia="zh-CN"/>
        </w:rPr>
        <w:t>车辆29辆，价值1,250.86万元，其中：副部（省）级及以上领导用车0辆、主要负责人用车0辆、机要通信用车0辆、应急保障用车0辆、执法执勤用车0辆、特种专业技术用车0辆、离退休干部服务用车0辆、其他用车29辆，其他用车主要是：</w:t>
      </w:r>
      <w:r>
        <w:rPr>
          <w:rFonts w:hint="eastAsia" w:ascii="仿宋_GB2312" w:eastAsia="仿宋_GB2312"/>
          <w:sz w:val="32"/>
          <w:szCs w:val="32"/>
          <w:lang w:val="en-US" w:eastAsia="zh-CN"/>
        </w:rPr>
        <w:t>一般公务用车</w:t>
      </w:r>
      <w:r>
        <w:rPr>
          <w:rFonts w:ascii="仿宋_GB2312" w:eastAsia="仿宋_GB2312"/>
          <w:sz w:val="32"/>
          <w:szCs w:val="32"/>
          <w:lang w:eastAsia="zh-CN"/>
        </w:rPr>
        <w:t>;单价100万元（含）以上设备（不含车辆）11台（套）。</w:t>
      </w:r>
    </w:p>
    <w:p w14:paraId="2A12745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F0B61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w:t>
      </w:r>
      <w:r>
        <w:rPr>
          <w:rFonts w:hint="eastAsia" w:ascii="仿宋_GB2312" w:eastAsia="仿宋_GB2312"/>
          <w:sz w:val="32"/>
          <w:szCs w:val="32"/>
          <w:lang w:val="en-US" w:eastAsia="zh-CN"/>
        </w:rPr>
        <w:t>8</w:t>
      </w:r>
      <w:r>
        <w:rPr>
          <w:rFonts w:ascii="仿宋_GB2312" w:eastAsia="仿宋_GB2312"/>
          <w:sz w:val="32"/>
          <w:szCs w:val="32"/>
          <w:lang w:eastAsia="zh-CN"/>
        </w:rPr>
        <w:t>个，全年预算数</w:t>
      </w:r>
      <w:r>
        <w:rPr>
          <w:rFonts w:hint="eastAsia" w:ascii="仿宋_GB2312" w:eastAsia="仿宋_GB2312"/>
          <w:sz w:val="32"/>
          <w:szCs w:val="32"/>
          <w:lang w:eastAsia="zh-CN"/>
        </w:rPr>
        <w:t>2</w:t>
      </w:r>
      <w:r>
        <w:rPr>
          <w:rFonts w:hint="eastAsia" w:ascii="仿宋_GB2312" w:eastAsia="仿宋_GB2312"/>
          <w:sz w:val="32"/>
          <w:szCs w:val="32"/>
          <w:lang w:val="en-US" w:eastAsia="zh-CN"/>
        </w:rPr>
        <w:t>,</w:t>
      </w:r>
      <w:r>
        <w:rPr>
          <w:rFonts w:hint="eastAsia" w:ascii="仿宋_GB2312" w:eastAsia="仿宋_GB2312"/>
          <w:sz w:val="32"/>
          <w:szCs w:val="32"/>
          <w:lang w:eastAsia="zh-CN"/>
        </w:rPr>
        <w:t>503.96</w:t>
      </w:r>
      <w:r>
        <w:rPr>
          <w:rFonts w:ascii="仿宋_GB2312" w:eastAsia="仿宋_GB2312"/>
          <w:sz w:val="32"/>
          <w:szCs w:val="32"/>
          <w:lang w:eastAsia="zh-CN"/>
        </w:rPr>
        <w:t>万元，全年执行数</w:t>
      </w:r>
      <w:r>
        <w:rPr>
          <w:rFonts w:hint="eastAsia" w:ascii="仿宋_GB2312" w:eastAsia="仿宋_GB2312"/>
          <w:sz w:val="32"/>
          <w:szCs w:val="32"/>
          <w:lang w:eastAsia="zh-CN"/>
        </w:rPr>
        <w:t>2</w:t>
      </w:r>
      <w:r>
        <w:rPr>
          <w:rFonts w:hint="eastAsia" w:ascii="仿宋_GB2312" w:eastAsia="仿宋_GB2312"/>
          <w:sz w:val="32"/>
          <w:szCs w:val="32"/>
          <w:lang w:val="en-US" w:eastAsia="zh-CN"/>
        </w:rPr>
        <w:t>,</w:t>
      </w:r>
      <w:r>
        <w:rPr>
          <w:rFonts w:hint="eastAsia" w:ascii="仿宋_GB2312" w:eastAsia="仿宋_GB2312"/>
          <w:sz w:val="32"/>
          <w:szCs w:val="32"/>
          <w:lang w:eastAsia="zh-CN"/>
        </w:rPr>
        <w:t>467.79</w:t>
      </w:r>
      <w:bookmarkStart w:id="0" w:name="_GoBack"/>
      <w:bookmarkEnd w:id="0"/>
      <w:r>
        <w:rPr>
          <w:rFonts w:ascii="仿宋_GB2312" w:eastAsia="仿宋_GB2312"/>
          <w:sz w:val="32"/>
          <w:szCs w:val="32"/>
          <w:lang w:eastAsia="zh-CN"/>
        </w:rPr>
        <w:t>万元。预算绩效管理取得的成效：一是深入推进新一轮找矿突破战略行动；二是深化矿产资源市场化法治化配置；三是坚决守住耕地保护红线；四是推进生态保护修复及矿山地质环境治理。发现的问题及原因：一是预算执行不够均衡，部分项目预算编制方法还不够科学不够细化，预算资金支出进度与项目开展进度难以保持一致；二是资金绩效考核指标不完善，绩效考核指标的设定还不够准确，定性定量指标的设定缺乏数据支持和科学的分析测评，无法全面反映项目的真实绩效。下一步改进措施：一是加强预算绩效管理培训，使预算绩效管理工作向精细化、科学化、专业化方向发展；二是增强预算编制的科学性和准确性，通过推进预算科学化、精细化管理，建立预算目标分解责任机制，改进预算目标分析和评定方法，细化预算指标，明确责任，强化职责，充分调动各部门编制和执行预算的积极性；三是建立健全内部控制制度，规范资金的审批和执行程序，发挥会计监督和审计、纪检监督作用，防范财务风险，有效保证单位各项经费和活动的正常运转。具体附项目支出绩效自评表。</w:t>
      </w:r>
    </w:p>
    <w:p w14:paraId="289731B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0F7071FB">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本年本单位其他项目</w:t>
      </w:r>
      <w:r>
        <w:rPr>
          <w:rFonts w:ascii="仿宋_GB2312" w:eastAsia="仿宋_GB2312"/>
          <w:sz w:val="32"/>
          <w:szCs w:val="32"/>
          <w:lang w:eastAsia="zh-CN"/>
        </w:rPr>
        <w:t>2个，全年预算数209.5万元，全年执行数206.43万元</w:t>
      </w:r>
      <w:r>
        <w:rPr>
          <w:rFonts w:hint="eastAsia" w:ascii="仿宋_GB2312" w:eastAsia="仿宋_GB2312"/>
          <w:sz w:val="32"/>
          <w:szCs w:val="32"/>
          <w:lang w:eastAsia="zh-CN"/>
        </w:rPr>
        <w:t>，绩效自评表不予公开。</w:t>
      </w:r>
    </w:p>
    <w:p w14:paraId="18D94713">
      <w:pPr>
        <w:rPr>
          <w:lang w:eastAsia="zh-CN"/>
        </w:rPr>
      </w:pPr>
      <w:r>
        <w:rPr>
          <w:sz w:val="0"/>
          <w:szCs w:val="0"/>
          <w:lang w:eastAsia="zh-CN"/>
        </w:rPr>
        <w:br w:type="page"/>
      </w:r>
    </w:p>
    <w:p w14:paraId="5CBDDDF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第三部分专业名词解释</w:t>
      </w:r>
    </w:p>
    <w:p w14:paraId="0256E90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2FE2D17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AA4DD1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2ED93F8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3C0820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7DF6800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1D327D5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78CD4AB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0312744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191A931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277E1B3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0A4908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6085E5F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53777DB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40FC400F">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3187CC1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CF0895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4A1A433C">
      <w:pPr>
        <w:rPr>
          <w:lang w:eastAsia="zh-CN"/>
        </w:rPr>
      </w:pPr>
      <w:r>
        <w:rPr>
          <w:sz w:val="0"/>
          <w:szCs w:val="0"/>
          <w:lang w:eastAsia="zh-CN"/>
        </w:rPr>
        <w:br w:type="page"/>
      </w:r>
    </w:p>
    <w:p w14:paraId="5A49B366">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第四部分部门决算报表（见附表）</w:t>
      </w:r>
    </w:p>
    <w:p w14:paraId="7EF6C77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1198FC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DABC70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174C5A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6BE1EE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507D1B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AC9191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005C5F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FF8802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39B036-2297-422B-BFBC-65B6CF3BC2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C8291844-6F6C-40E7-8643-99EF0321A83C}"/>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57EFECE8-9ACA-4DA9-A7C9-AB4711D8E83B}"/>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12E65"/>
    <w:multiLevelType w:val="singleLevel"/>
    <w:tmpl w:val="0A412E65"/>
    <w:lvl w:ilvl="0" w:tentative="0">
      <w:start w:val="1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B87081"/>
    <w:rsid w:val="00017A86"/>
    <w:rsid w:val="00216C67"/>
    <w:rsid w:val="00594981"/>
    <w:rsid w:val="00AA15B7"/>
    <w:rsid w:val="00B87081"/>
    <w:rsid w:val="00D71A15"/>
    <w:rsid w:val="0AED1B98"/>
    <w:rsid w:val="0C22507E"/>
    <w:rsid w:val="0E5221D4"/>
    <w:rsid w:val="162830E5"/>
    <w:rsid w:val="1A980E74"/>
    <w:rsid w:val="37CD1FF7"/>
    <w:rsid w:val="3A3F0CE2"/>
    <w:rsid w:val="3AC712F1"/>
    <w:rsid w:val="3EE62855"/>
    <w:rsid w:val="435B43F6"/>
    <w:rsid w:val="463158E2"/>
    <w:rsid w:val="7AE82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Char"/>
    <w:basedOn w:val="13"/>
    <w:link w:val="8"/>
    <w:uiPriority w:val="99"/>
  </w:style>
  <w:style w:type="character" w:customStyle="1" w:styleId="17">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标题 3 Char"/>
    <w:basedOn w:val="13"/>
    <w:link w:val="4"/>
    <w:uiPriority w:val="9"/>
    <w:rPr>
      <w:rFonts w:asciiTheme="majorHAnsi" w:hAnsiTheme="majorHAnsi" w:eastAsiaTheme="majorEastAsia" w:cstheme="majorBidi"/>
      <w:b/>
      <w:bCs/>
      <w:color w:val="4F81BD" w:themeColor="accent1"/>
    </w:rPr>
  </w:style>
  <w:style w:type="character" w:customStyle="1" w:styleId="20">
    <w:name w:val="标题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17</Pages>
  <Words>8214</Words>
  <Characters>9093</Characters>
  <Lines>68</Lines>
  <Paragraphs>19</Paragraphs>
  <TotalTime>16</TotalTime>
  <ScaleCrop>false</ScaleCrop>
  <LinksUpToDate>false</LinksUpToDate>
  <CharactersWithSpaces>9093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2026-08-12T11:14:00Z</dcterms:created>
  <dc:creator>Administrator</dc:creator>
  <cp:lastModifiedBy>蹁跹</cp:lastModifiedBy>
  <dcterms:modified xsi:type="dcterms:W3CDTF">2026-08-21T08:16:05Z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eyJoZGlkIjoiNTBiYjFiYzY0OWM2ODlhYjA1NDAwODJkOGMwZGNkYTMiLCJ1c2VySWQiOiIxMTU3MzgyOTA5In0=</vt:lpwstr>
  </property>
  <property fmtid="{D5CDD505-2E9C-101B-9397-08002B2CF9AE}" pid="3" name="KSOProductBuildVer">
    <vt:lpwstr>2052-12.1.0.28043</vt:lpwstr>
  </property>
  <property fmtid="{D5CDD505-2E9C-101B-9397-08002B2CF9AE}" pid="4" name="ICV">
    <vt:lpwstr>892D9A0A35744A23BE5A8179E65BFF81_12</vt:lpwstr>
  </property>
</Properties>
</file>