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F247C">
      <w:pPr>
        <w:widowControl/>
        <w:jc w:val="left"/>
        <w:rPr>
          <w:rFonts w:ascii="宋体"/>
          <w:sz w:val="32"/>
          <w:szCs w:val="32"/>
        </w:rPr>
      </w:pPr>
    </w:p>
    <w:p w14:paraId="2C5BDA03">
      <w:pPr>
        <w:widowControl/>
        <w:jc w:val="left"/>
        <w:rPr>
          <w:rFonts w:ascii="宋体"/>
          <w:sz w:val="44"/>
          <w:szCs w:val="44"/>
        </w:rPr>
      </w:pPr>
    </w:p>
    <w:p w14:paraId="23C1D6CB">
      <w:pPr>
        <w:widowControl/>
        <w:jc w:val="left"/>
        <w:rPr>
          <w:rFonts w:ascii="宋体"/>
          <w:sz w:val="44"/>
          <w:szCs w:val="44"/>
        </w:rPr>
      </w:pPr>
    </w:p>
    <w:p w14:paraId="249D307E">
      <w:pPr>
        <w:widowControl/>
        <w:jc w:val="left"/>
        <w:rPr>
          <w:rFonts w:ascii="宋体"/>
          <w:sz w:val="44"/>
          <w:szCs w:val="44"/>
        </w:rPr>
      </w:pPr>
    </w:p>
    <w:p w14:paraId="506EE05E">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cs="Times New Roman"/>
          <w:kern w:val="2"/>
          <w:sz w:val="44"/>
          <w:szCs w:val="44"/>
          <w:highlight w:val="none"/>
          <w:lang w:eastAsia="zh-CN"/>
        </w:rPr>
      </w:pPr>
      <w:r>
        <w:rPr>
          <w:rFonts w:hint="eastAsia" w:ascii="方正小标宋_GBK" w:hAnsi="宋体" w:eastAsia="方正小标宋_GBK" w:cs="Times New Roman"/>
          <w:kern w:val="2"/>
          <w:sz w:val="44"/>
          <w:szCs w:val="44"/>
          <w:highlight w:val="none"/>
          <w:lang w:eastAsia="zh-CN"/>
        </w:rPr>
        <w:t>新疆维吾尔自治区地质勘查质量评价中心</w:t>
      </w:r>
    </w:p>
    <w:p w14:paraId="7E7BBA4C">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ascii="黑体" w:eastAsia="黑体"/>
          <w:sz w:val="44"/>
          <w:szCs w:val="44"/>
        </w:rPr>
      </w:pPr>
      <w:r>
        <w:rPr>
          <w:rFonts w:hint="eastAsia" w:ascii="方正小标宋_GBK" w:hAnsi="宋体" w:eastAsia="方正小标宋_GBK" w:cs="Times New Roman"/>
          <w:kern w:val="2"/>
          <w:sz w:val="44"/>
          <w:szCs w:val="44"/>
          <w:highlight w:val="none"/>
          <w:lang w:eastAsia="zh-CN"/>
        </w:rPr>
        <w:t>2025年度部门决算公开说明</w:t>
      </w:r>
    </w:p>
    <w:p w14:paraId="59853081">
      <w:pPr>
        <w:widowControl/>
      </w:pPr>
      <w:r>
        <w:rPr>
          <w:sz w:val="0"/>
          <w:szCs w:val="0"/>
        </w:rPr>
        <w:br w:type="page"/>
      </w:r>
    </w:p>
    <w:p w14:paraId="7A85C7C3">
      <w:pPr>
        <w:widowControl/>
        <w:jc w:val="center"/>
        <w:rPr>
          <w:rFonts w:ascii="黑体" w:eastAsia="黑体"/>
          <w:sz w:val="32"/>
          <w:szCs w:val="32"/>
        </w:rPr>
      </w:pPr>
      <w:r>
        <w:rPr>
          <w:rFonts w:ascii="黑体" w:eastAsia="黑体"/>
          <w:b/>
          <w:sz w:val="32"/>
          <w:szCs w:val="32"/>
        </w:rPr>
        <w:t>目 录</w:t>
      </w:r>
    </w:p>
    <w:p w14:paraId="4BC4AEF5">
      <w:pPr>
        <w:widowControl/>
        <w:jc w:val="left"/>
        <w:rPr>
          <w:rFonts w:ascii="仿宋_GB2312" w:eastAsia="仿宋_GB2312"/>
          <w:sz w:val="32"/>
          <w:szCs w:val="32"/>
        </w:rPr>
      </w:pPr>
      <w:r>
        <w:rPr>
          <w:rFonts w:ascii="仿宋_GB2312" w:eastAsia="仿宋_GB2312"/>
          <w:b/>
          <w:sz w:val="32"/>
          <w:szCs w:val="32"/>
        </w:rPr>
        <w:t>第一部分单位概况</w:t>
      </w:r>
    </w:p>
    <w:p w14:paraId="0B62C59F">
      <w:pPr>
        <w:widowControl/>
        <w:jc w:val="left"/>
        <w:rPr>
          <w:rFonts w:ascii="仿宋_GB2312" w:eastAsia="仿宋_GB2312"/>
          <w:sz w:val="32"/>
          <w:szCs w:val="32"/>
        </w:rPr>
      </w:pPr>
      <w:r>
        <w:rPr>
          <w:rFonts w:ascii="仿宋_GB2312" w:eastAsia="仿宋_GB2312"/>
          <w:sz w:val="32"/>
          <w:szCs w:val="32"/>
        </w:rPr>
        <w:t>一、主要职能</w:t>
      </w:r>
    </w:p>
    <w:p w14:paraId="6BD2DED2">
      <w:pPr>
        <w:widowControl/>
        <w:jc w:val="left"/>
        <w:rPr>
          <w:rFonts w:ascii="仿宋_GB2312" w:eastAsia="仿宋_GB2312"/>
          <w:sz w:val="32"/>
          <w:szCs w:val="32"/>
        </w:rPr>
      </w:pPr>
      <w:r>
        <w:rPr>
          <w:rFonts w:ascii="仿宋_GB2312" w:eastAsia="仿宋_GB2312"/>
          <w:sz w:val="32"/>
          <w:szCs w:val="32"/>
        </w:rPr>
        <w:t>二、机构设置</w:t>
      </w:r>
    </w:p>
    <w:p w14:paraId="553F8C92">
      <w:pPr>
        <w:widowControl/>
        <w:jc w:val="left"/>
        <w:rPr>
          <w:rFonts w:ascii="仿宋_GB2312" w:eastAsia="仿宋_GB2312"/>
          <w:sz w:val="32"/>
          <w:szCs w:val="32"/>
        </w:rPr>
      </w:pPr>
      <w:r>
        <w:rPr>
          <w:rFonts w:ascii="仿宋_GB2312" w:eastAsia="仿宋_GB2312"/>
          <w:b/>
          <w:sz w:val="32"/>
          <w:szCs w:val="32"/>
        </w:rPr>
        <w:t>第二部分 部门决算情况说明</w:t>
      </w:r>
    </w:p>
    <w:p w14:paraId="24B3CBE7">
      <w:pPr>
        <w:widowControl/>
        <w:jc w:val="left"/>
        <w:rPr>
          <w:rFonts w:ascii="仿宋_GB2312" w:eastAsia="仿宋_GB2312"/>
          <w:sz w:val="32"/>
          <w:szCs w:val="32"/>
        </w:rPr>
      </w:pPr>
      <w:r>
        <w:rPr>
          <w:rFonts w:ascii="仿宋_GB2312" w:eastAsia="仿宋_GB2312"/>
          <w:sz w:val="32"/>
          <w:szCs w:val="32"/>
        </w:rPr>
        <w:t>一、收入支出决算总体情况说明</w:t>
      </w:r>
    </w:p>
    <w:p w14:paraId="182B3B6E">
      <w:pPr>
        <w:widowControl/>
        <w:jc w:val="left"/>
        <w:rPr>
          <w:rFonts w:ascii="仿宋_GB2312" w:eastAsia="仿宋_GB2312"/>
          <w:sz w:val="32"/>
          <w:szCs w:val="32"/>
        </w:rPr>
      </w:pPr>
      <w:r>
        <w:rPr>
          <w:rFonts w:ascii="仿宋_GB2312" w:eastAsia="仿宋_GB2312"/>
          <w:sz w:val="32"/>
          <w:szCs w:val="32"/>
        </w:rPr>
        <w:t>二、收入决算情况说明</w:t>
      </w:r>
    </w:p>
    <w:p w14:paraId="340D21EA">
      <w:pPr>
        <w:widowControl/>
        <w:jc w:val="left"/>
        <w:rPr>
          <w:rFonts w:ascii="仿宋_GB2312" w:eastAsia="仿宋_GB2312"/>
          <w:sz w:val="32"/>
          <w:szCs w:val="32"/>
        </w:rPr>
      </w:pPr>
      <w:r>
        <w:rPr>
          <w:rFonts w:ascii="仿宋_GB2312" w:eastAsia="仿宋_GB2312"/>
          <w:sz w:val="32"/>
          <w:szCs w:val="32"/>
        </w:rPr>
        <w:t>三、支出决算情况说明</w:t>
      </w:r>
    </w:p>
    <w:p w14:paraId="6FEBC09B">
      <w:pPr>
        <w:widowControl/>
        <w:jc w:val="left"/>
        <w:rPr>
          <w:rFonts w:ascii="仿宋_GB2312" w:eastAsia="仿宋_GB2312"/>
          <w:sz w:val="32"/>
          <w:szCs w:val="32"/>
        </w:rPr>
      </w:pPr>
      <w:r>
        <w:rPr>
          <w:rFonts w:ascii="仿宋_GB2312" w:eastAsia="仿宋_GB2312"/>
          <w:sz w:val="32"/>
          <w:szCs w:val="32"/>
        </w:rPr>
        <w:t>四、财政拨款收入支出决算总体情况说明</w:t>
      </w:r>
    </w:p>
    <w:p w14:paraId="1DCFCDDD">
      <w:pPr>
        <w:widowControl/>
        <w:jc w:val="left"/>
        <w:rPr>
          <w:rFonts w:ascii="仿宋_GB2312" w:eastAsia="仿宋_GB2312"/>
          <w:sz w:val="32"/>
          <w:szCs w:val="32"/>
        </w:rPr>
      </w:pPr>
      <w:r>
        <w:rPr>
          <w:rFonts w:ascii="仿宋_GB2312" w:eastAsia="仿宋_GB2312"/>
          <w:sz w:val="32"/>
          <w:szCs w:val="32"/>
        </w:rPr>
        <w:t>五、一般公共预算财政拨款支出决算情况说明</w:t>
      </w:r>
    </w:p>
    <w:p w14:paraId="7B3FF87A">
      <w:pPr>
        <w:widowControl/>
        <w:jc w:val="left"/>
        <w:rPr>
          <w:rFonts w:ascii="仿宋_GB2312" w:eastAsia="仿宋_GB2312"/>
          <w:sz w:val="32"/>
          <w:szCs w:val="32"/>
        </w:rPr>
      </w:pPr>
      <w:r>
        <w:rPr>
          <w:rFonts w:ascii="仿宋_GB2312" w:eastAsia="仿宋_GB2312"/>
          <w:sz w:val="32"/>
          <w:szCs w:val="32"/>
        </w:rPr>
        <w:t>（一）一般公共预算财政拨款支出决算总体情况</w:t>
      </w:r>
    </w:p>
    <w:p w14:paraId="039895B3">
      <w:pPr>
        <w:widowControl/>
        <w:jc w:val="left"/>
        <w:rPr>
          <w:rFonts w:ascii="仿宋_GB2312" w:eastAsia="仿宋_GB2312"/>
          <w:sz w:val="32"/>
          <w:szCs w:val="32"/>
        </w:rPr>
      </w:pPr>
      <w:r>
        <w:rPr>
          <w:rFonts w:ascii="仿宋_GB2312" w:eastAsia="仿宋_GB2312"/>
          <w:sz w:val="32"/>
          <w:szCs w:val="32"/>
        </w:rPr>
        <w:t>（二）一般公共预算财政拨款支出决算结构情况</w:t>
      </w:r>
    </w:p>
    <w:p w14:paraId="655E7266">
      <w:pPr>
        <w:widowControl/>
        <w:jc w:val="left"/>
        <w:rPr>
          <w:rFonts w:ascii="仿宋_GB2312" w:eastAsia="仿宋_GB2312"/>
          <w:sz w:val="32"/>
          <w:szCs w:val="32"/>
        </w:rPr>
      </w:pPr>
      <w:r>
        <w:rPr>
          <w:rFonts w:ascii="仿宋_GB2312" w:eastAsia="仿宋_GB2312"/>
          <w:sz w:val="32"/>
          <w:szCs w:val="32"/>
        </w:rPr>
        <w:t>（三）一般公共预算财政拨款支出决算具体情况</w:t>
      </w:r>
    </w:p>
    <w:p w14:paraId="6C406EA8">
      <w:pPr>
        <w:widowControl/>
        <w:jc w:val="left"/>
        <w:rPr>
          <w:rFonts w:ascii="仿宋_GB2312" w:eastAsia="仿宋_GB2312"/>
          <w:sz w:val="32"/>
          <w:szCs w:val="32"/>
        </w:rPr>
      </w:pPr>
      <w:r>
        <w:rPr>
          <w:rFonts w:ascii="仿宋_GB2312" w:eastAsia="仿宋_GB2312"/>
          <w:sz w:val="32"/>
          <w:szCs w:val="32"/>
        </w:rPr>
        <w:t>六、一般公共预算财政拨款基本支出决算情况说明</w:t>
      </w:r>
    </w:p>
    <w:p w14:paraId="1938AC3B">
      <w:pPr>
        <w:widowControl/>
        <w:jc w:val="left"/>
        <w:rPr>
          <w:rFonts w:ascii="仿宋_GB2312" w:eastAsia="仿宋_GB2312"/>
          <w:sz w:val="32"/>
          <w:szCs w:val="32"/>
        </w:rPr>
      </w:pPr>
      <w:r>
        <w:rPr>
          <w:rFonts w:ascii="仿宋_GB2312" w:eastAsia="仿宋_GB2312"/>
          <w:sz w:val="32"/>
          <w:szCs w:val="32"/>
        </w:rPr>
        <w:t>七、政府性基金预算财政拨款收入支出决算情况说明</w:t>
      </w:r>
    </w:p>
    <w:p w14:paraId="2B7E188C">
      <w:pPr>
        <w:widowControl/>
        <w:jc w:val="left"/>
        <w:rPr>
          <w:rFonts w:ascii="仿宋_GB2312" w:eastAsia="仿宋_GB2312"/>
          <w:sz w:val="32"/>
          <w:szCs w:val="32"/>
        </w:rPr>
      </w:pPr>
      <w:r>
        <w:rPr>
          <w:rFonts w:ascii="仿宋_GB2312" w:eastAsia="仿宋_GB2312"/>
          <w:sz w:val="32"/>
          <w:szCs w:val="32"/>
        </w:rPr>
        <w:t>八、国有资本经营预算财政拨款收入支出决算情况说明</w:t>
      </w:r>
    </w:p>
    <w:p w14:paraId="5E6711B8">
      <w:pPr>
        <w:widowControl/>
        <w:jc w:val="left"/>
        <w:rPr>
          <w:rFonts w:ascii="仿宋_GB2312" w:eastAsia="仿宋_GB2312"/>
          <w:sz w:val="32"/>
          <w:szCs w:val="32"/>
        </w:rPr>
      </w:pPr>
      <w:r>
        <w:rPr>
          <w:rFonts w:ascii="仿宋_GB2312" w:eastAsia="仿宋_GB2312"/>
          <w:sz w:val="32"/>
          <w:szCs w:val="32"/>
        </w:rPr>
        <w:t>九、财政拨款“三公”经费支出决算情况说明</w:t>
      </w:r>
    </w:p>
    <w:p w14:paraId="370A57C0">
      <w:pPr>
        <w:widowControl/>
        <w:jc w:val="left"/>
        <w:rPr>
          <w:rFonts w:ascii="仿宋_GB2312" w:eastAsia="仿宋_GB2312"/>
          <w:sz w:val="32"/>
          <w:szCs w:val="32"/>
        </w:rPr>
      </w:pPr>
      <w:r>
        <w:rPr>
          <w:rFonts w:ascii="仿宋_GB2312" w:eastAsia="仿宋_GB2312"/>
          <w:sz w:val="32"/>
          <w:szCs w:val="32"/>
        </w:rPr>
        <w:t>十、其他重要事项的情况说明</w:t>
      </w:r>
    </w:p>
    <w:p w14:paraId="4F2A86E1">
      <w:pPr>
        <w:widowControl/>
        <w:jc w:val="left"/>
        <w:rPr>
          <w:rFonts w:ascii="仿宋_GB2312" w:eastAsia="仿宋_GB2312"/>
          <w:sz w:val="32"/>
          <w:szCs w:val="32"/>
        </w:rPr>
      </w:pPr>
      <w:r>
        <w:rPr>
          <w:rFonts w:ascii="仿宋_GB2312" w:eastAsia="仿宋_GB2312"/>
          <w:sz w:val="32"/>
          <w:szCs w:val="32"/>
        </w:rPr>
        <w:t>（一）机关运行经费及公用经费支出情况</w:t>
      </w:r>
    </w:p>
    <w:p w14:paraId="45F66FCA">
      <w:pPr>
        <w:widowControl/>
        <w:jc w:val="left"/>
        <w:rPr>
          <w:rFonts w:ascii="仿宋_GB2312" w:eastAsia="仿宋_GB2312"/>
          <w:sz w:val="32"/>
          <w:szCs w:val="32"/>
        </w:rPr>
      </w:pPr>
      <w:r>
        <w:rPr>
          <w:rFonts w:ascii="仿宋_GB2312" w:eastAsia="仿宋_GB2312"/>
          <w:sz w:val="32"/>
          <w:szCs w:val="32"/>
        </w:rPr>
        <w:t>（二）政府采购情况</w:t>
      </w:r>
    </w:p>
    <w:p w14:paraId="5A7F6DDE">
      <w:pPr>
        <w:widowControl/>
        <w:jc w:val="left"/>
        <w:rPr>
          <w:rFonts w:ascii="仿宋_GB2312" w:eastAsia="仿宋_GB2312"/>
          <w:sz w:val="32"/>
          <w:szCs w:val="32"/>
        </w:rPr>
      </w:pPr>
      <w:r>
        <w:rPr>
          <w:rFonts w:ascii="仿宋_GB2312" w:eastAsia="仿宋_GB2312"/>
          <w:sz w:val="32"/>
          <w:szCs w:val="32"/>
        </w:rPr>
        <w:t>（三）国有资产占用情况说明</w:t>
      </w:r>
    </w:p>
    <w:p w14:paraId="2CA80F5C">
      <w:pPr>
        <w:widowControl/>
        <w:jc w:val="left"/>
        <w:rPr>
          <w:rFonts w:ascii="仿宋_GB2312" w:eastAsia="仿宋_GB2312"/>
          <w:sz w:val="32"/>
          <w:szCs w:val="32"/>
        </w:rPr>
      </w:pPr>
      <w:r>
        <w:rPr>
          <w:rFonts w:ascii="仿宋_GB2312" w:eastAsia="仿宋_GB2312"/>
          <w:sz w:val="32"/>
          <w:szCs w:val="32"/>
        </w:rPr>
        <w:t>十一、预算绩效的情况说明</w:t>
      </w:r>
    </w:p>
    <w:p w14:paraId="396CF026">
      <w:pPr>
        <w:widowControl/>
        <w:jc w:val="left"/>
        <w:rPr>
          <w:rFonts w:ascii="仿宋_GB2312" w:eastAsia="仿宋_GB2312"/>
          <w:sz w:val="32"/>
          <w:szCs w:val="32"/>
        </w:rPr>
      </w:pPr>
      <w:r>
        <w:rPr>
          <w:rFonts w:ascii="仿宋_GB2312" w:eastAsia="仿宋_GB2312"/>
          <w:sz w:val="32"/>
          <w:szCs w:val="32"/>
        </w:rPr>
        <w:t>十二、其他需说明的事项</w:t>
      </w:r>
    </w:p>
    <w:p w14:paraId="34007CBE">
      <w:pPr>
        <w:widowControl/>
        <w:jc w:val="left"/>
        <w:rPr>
          <w:rFonts w:ascii="仿宋_GB2312" w:eastAsia="仿宋_GB2312"/>
          <w:sz w:val="32"/>
          <w:szCs w:val="32"/>
        </w:rPr>
      </w:pPr>
      <w:r>
        <w:rPr>
          <w:rFonts w:ascii="仿宋_GB2312" w:eastAsia="仿宋_GB2312"/>
          <w:b/>
          <w:sz w:val="32"/>
          <w:szCs w:val="32"/>
        </w:rPr>
        <w:t>第三部分 专业名词解释</w:t>
      </w:r>
    </w:p>
    <w:p w14:paraId="2061F3FF">
      <w:pPr>
        <w:widowControl/>
        <w:jc w:val="left"/>
        <w:rPr>
          <w:rFonts w:ascii="仿宋_GB2312" w:eastAsia="仿宋_GB2312"/>
          <w:sz w:val="32"/>
          <w:szCs w:val="32"/>
        </w:rPr>
      </w:pPr>
      <w:r>
        <w:rPr>
          <w:rFonts w:ascii="仿宋_GB2312" w:eastAsia="仿宋_GB2312"/>
          <w:b/>
          <w:sz w:val="32"/>
          <w:szCs w:val="32"/>
        </w:rPr>
        <w:t>第四部分 部门决算报表（见附表）</w:t>
      </w:r>
    </w:p>
    <w:p w14:paraId="5BC2237E">
      <w:pPr>
        <w:widowControl/>
        <w:jc w:val="left"/>
        <w:rPr>
          <w:rFonts w:ascii="仿宋_GB2312" w:eastAsia="仿宋_GB2312"/>
          <w:sz w:val="32"/>
          <w:szCs w:val="32"/>
        </w:rPr>
      </w:pPr>
      <w:r>
        <w:rPr>
          <w:rFonts w:ascii="仿宋_GB2312" w:eastAsia="仿宋_GB2312"/>
          <w:sz w:val="32"/>
          <w:szCs w:val="32"/>
        </w:rPr>
        <w:t>一、《收入支出决算总表》</w:t>
      </w:r>
    </w:p>
    <w:p w14:paraId="1CD3EE17">
      <w:pPr>
        <w:widowControl/>
        <w:jc w:val="left"/>
        <w:rPr>
          <w:rFonts w:ascii="仿宋_GB2312" w:eastAsia="仿宋_GB2312"/>
          <w:sz w:val="32"/>
          <w:szCs w:val="32"/>
        </w:rPr>
      </w:pPr>
      <w:r>
        <w:rPr>
          <w:rFonts w:ascii="仿宋_GB2312" w:eastAsia="仿宋_GB2312"/>
          <w:sz w:val="32"/>
          <w:szCs w:val="32"/>
        </w:rPr>
        <w:t>二、《收入决算表》</w:t>
      </w:r>
    </w:p>
    <w:p w14:paraId="7C648F9E">
      <w:pPr>
        <w:widowControl/>
        <w:jc w:val="left"/>
        <w:rPr>
          <w:rFonts w:ascii="仿宋_GB2312" w:eastAsia="仿宋_GB2312"/>
          <w:sz w:val="32"/>
          <w:szCs w:val="32"/>
        </w:rPr>
      </w:pPr>
      <w:r>
        <w:rPr>
          <w:rFonts w:ascii="仿宋_GB2312" w:eastAsia="仿宋_GB2312"/>
          <w:sz w:val="32"/>
          <w:szCs w:val="32"/>
        </w:rPr>
        <w:t>三、《支出决算表》</w:t>
      </w:r>
    </w:p>
    <w:p w14:paraId="7A6F8C6C">
      <w:pPr>
        <w:widowControl/>
        <w:jc w:val="left"/>
        <w:rPr>
          <w:rFonts w:ascii="仿宋_GB2312" w:eastAsia="仿宋_GB2312"/>
          <w:sz w:val="32"/>
          <w:szCs w:val="32"/>
        </w:rPr>
      </w:pPr>
      <w:r>
        <w:rPr>
          <w:rFonts w:ascii="仿宋_GB2312" w:eastAsia="仿宋_GB2312"/>
          <w:sz w:val="32"/>
          <w:szCs w:val="32"/>
        </w:rPr>
        <w:t>四、《财政拨款收入支出决算总表》</w:t>
      </w:r>
    </w:p>
    <w:p w14:paraId="1ADF8A01">
      <w:pPr>
        <w:widowControl/>
        <w:jc w:val="left"/>
        <w:rPr>
          <w:rFonts w:ascii="仿宋_GB2312" w:eastAsia="仿宋_GB2312"/>
          <w:sz w:val="32"/>
          <w:szCs w:val="32"/>
        </w:rPr>
      </w:pPr>
      <w:r>
        <w:rPr>
          <w:rFonts w:ascii="仿宋_GB2312" w:eastAsia="仿宋_GB2312"/>
          <w:sz w:val="32"/>
          <w:szCs w:val="32"/>
        </w:rPr>
        <w:t>五、《一般公共预算财政拨款支出决算表》</w:t>
      </w:r>
    </w:p>
    <w:p w14:paraId="63E69364">
      <w:pPr>
        <w:widowControl/>
        <w:jc w:val="left"/>
        <w:rPr>
          <w:rFonts w:ascii="仿宋_GB2312" w:eastAsia="仿宋_GB2312"/>
          <w:sz w:val="32"/>
          <w:szCs w:val="32"/>
        </w:rPr>
      </w:pPr>
      <w:r>
        <w:rPr>
          <w:rFonts w:ascii="仿宋_GB2312" w:eastAsia="仿宋_GB2312"/>
          <w:sz w:val="32"/>
          <w:szCs w:val="32"/>
        </w:rPr>
        <w:t>六、《一般公共预算财政拨款基本支出决算表》</w:t>
      </w:r>
    </w:p>
    <w:p w14:paraId="452FE661">
      <w:pPr>
        <w:widowControl/>
        <w:jc w:val="left"/>
        <w:rPr>
          <w:rFonts w:ascii="仿宋_GB2312" w:eastAsia="仿宋_GB2312"/>
          <w:sz w:val="32"/>
          <w:szCs w:val="32"/>
        </w:rPr>
      </w:pPr>
      <w:r>
        <w:rPr>
          <w:rFonts w:ascii="仿宋_GB2312" w:eastAsia="仿宋_GB2312"/>
          <w:sz w:val="32"/>
          <w:szCs w:val="32"/>
        </w:rPr>
        <w:t>七、《政府性基金预算财政拨款收入支出决算表》</w:t>
      </w:r>
    </w:p>
    <w:p w14:paraId="1FE09813">
      <w:pPr>
        <w:widowControl/>
        <w:jc w:val="left"/>
        <w:rPr>
          <w:rFonts w:ascii="仿宋_GB2312" w:eastAsia="仿宋_GB2312"/>
          <w:sz w:val="32"/>
          <w:szCs w:val="32"/>
        </w:rPr>
      </w:pPr>
      <w:r>
        <w:rPr>
          <w:rFonts w:ascii="仿宋_GB2312" w:eastAsia="仿宋_GB2312"/>
          <w:sz w:val="32"/>
          <w:szCs w:val="32"/>
        </w:rPr>
        <w:t>八、《国有资本经营预算财政拨款收入支出决算表》</w:t>
      </w:r>
    </w:p>
    <w:p w14:paraId="201C65C5">
      <w:pPr>
        <w:widowControl/>
        <w:jc w:val="left"/>
        <w:rPr>
          <w:rFonts w:ascii="仿宋_GB2312" w:eastAsia="仿宋_GB2312"/>
          <w:sz w:val="32"/>
          <w:szCs w:val="32"/>
        </w:rPr>
      </w:pPr>
      <w:r>
        <w:rPr>
          <w:rFonts w:ascii="仿宋_GB2312" w:eastAsia="仿宋_GB2312"/>
          <w:sz w:val="32"/>
          <w:szCs w:val="32"/>
        </w:rPr>
        <w:t>九、《财政拨款“三公”经费支出决算表》</w:t>
      </w:r>
    </w:p>
    <w:p w14:paraId="1C059C05">
      <w:pPr>
        <w:widowControl/>
      </w:pPr>
      <w:r>
        <w:rPr>
          <w:sz w:val="0"/>
          <w:szCs w:val="0"/>
        </w:rPr>
        <w:br w:type="page"/>
      </w:r>
    </w:p>
    <w:p w14:paraId="72B06794">
      <w:pPr>
        <w:widowControl/>
        <w:jc w:val="center"/>
        <w:outlineLvl w:val="0"/>
        <w:rPr>
          <w:rFonts w:ascii="黑体" w:eastAsia="黑体"/>
          <w:sz w:val="32"/>
          <w:szCs w:val="32"/>
        </w:rPr>
      </w:pPr>
      <w:r>
        <w:rPr>
          <w:rFonts w:ascii="黑体" w:eastAsia="黑体"/>
          <w:sz w:val="32"/>
          <w:szCs w:val="32"/>
        </w:rPr>
        <w:t>第一部分单位概况</w:t>
      </w:r>
    </w:p>
    <w:p w14:paraId="0FDE3AFE">
      <w:pPr>
        <w:widowControl/>
        <w:ind w:firstLine="640" w:firstLineChars="200"/>
        <w:jc w:val="left"/>
        <w:outlineLvl w:val="1"/>
        <w:rPr>
          <w:rFonts w:ascii="黑体" w:eastAsia="黑体"/>
          <w:sz w:val="32"/>
          <w:szCs w:val="32"/>
        </w:rPr>
      </w:pPr>
      <w:r>
        <w:rPr>
          <w:rFonts w:ascii="黑体" w:eastAsia="黑体"/>
          <w:sz w:val="32"/>
          <w:szCs w:val="32"/>
        </w:rPr>
        <w:t>一、主要职能</w:t>
      </w:r>
    </w:p>
    <w:p w14:paraId="6C9A6F5E">
      <w:pPr>
        <w:widowControl/>
        <w:ind w:firstLine="640" w:firstLineChars="200"/>
        <w:rPr>
          <w:rFonts w:ascii="仿宋_GB2312" w:eastAsia="仿宋_GB2312"/>
          <w:sz w:val="32"/>
          <w:szCs w:val="32"/>
        </w:rPr>
      </w:pPr>
      <w:r>
        <w:rPr>
          <w:rFonts w:hint="eastAsia" w:ascii="仿宋_GB2312" w:eastAsia="仿宋_GB2312"/>
          <w:sz w:val="32"/>
          <w:szCs w:val="32"/>
        </w:rPr>
        <w:t>自治区地质勘查质量评价中心，公益一类，机构规格相当县（处）级，经费实行全额预算管理。主要职责是：</w:t>
      </w:r>
    </w:p>
    <w:p w14:paraId="12ABC08C">
      <w:pPr>
        <w:widowControl/>
        <w:ind w:firstLine="640" w:firstLineChars="200"/>
        <w:rPr>
          <w:rFonts w:ascii="仿宋_GB2312" w:eastAsia="仿宋_GB2312"/>
          <w:sz w:val="32"/>
          <w:szCs w:val="32"/>
        </w:rPr>
      </w:pPr>
      <w:r>
        <w:rPr>
          <w:rFonts w:hint="eastAsia" w:ascii="仿宋_GB2312" w:eastAsia="仿宋_GB2312"/>
          <w:sz w:val="32"/>
          <w:szCs w:val="32"/>
        </w:rPr>
        <w:t>（一）承担矿产资源规划编制、实施及评估等工作。</w:t>
      </w:r>
    </w:p>
    <w:p w14:paraId="25739253">
      <w:pPr>
        <w:widowControl/>
        <w:ind w:firstLine="640" w:firstLineChars="200"/>
        <w:rPr>
          <w:rFonts w:ascii="仿宋_GB2312" w:eastAsia="仿宋_GB2312"/>
          <w:sz w:val="32"/>
          <w:szCs w:val="32"/>
        </w:rPr>
      </w:pPr>
      <w:r>
        <w:rPr>
          <w:rFonts w:hint="eastAsia" w:ascii="仿宋_GB2312" w:eastAsia="仿宋_GB2312"/>
          <w:sz w:val="32"/>
          <w:szCs w:val="32"/>
        </w:rPr>
        <w:t>（二）检查指导地质勘查项目野外工作质量；协调解决外地质勘查遇到的重大地质问题。</w:t>
      </w:r>
    </w:p>
    <w:p w14:paraId="3074AD97">
      <w:pPr>
        <w:widowControl/>
        <w:ind w:firstLine="640" w:firstLineChars="200"/>
        <w:rPr>
          <w:rFonts w:ascii="仿宋_GB2312" w:eastAsia="仿宋_GB2312"/>
          <w:sz w:val="32"/>
          <w:szCs w:val="32"/>
        </w:rPr>
      </w:pPr>
      <w:r>
        <w:rPr>
          <w:rFonts w:hint="eastAsia" w:ascii="仿宋_GB2312" w:eastAsia="仿宋_GB2312"/>
          <w:sz w:val="32"/>
          <w:szCs w:val="32"/>
        </w:rPr>
        <w:t>（三）承担自治区地质勘查专项统计和分析；开展矿产资源调查监测等工作，为矿产资源储量动态监督管理提供技术支撑。</w:t>
      </w:r>
    </w:p>
    <w:p w14:paraId="44CC23A1">
      <w:pPr>
        <w:widowControl/>
        <w:ind w:firstLine="640" w:firstLineChars="200"/>
        <w:rPr>
          <w:rFonts w:ascii="仿宋_GB2312" w:eastAsia="仿宋_GB2312"/>
          <w:sz w:val="32"/>
          <w:szCs w:val="32"/>
        </w:rPr>
      </w:pPr>
      <w:r>
        <w:rPr>
          <w:rFonts w:hint="eastAsia" w:ascii="仿宋_GB2312" w:eastAsia="仿宋_GB2312"/>
          <w:sz w:val="32"/>
          <w:szCs w:val="32"/>
        </w:rPr>
        <w:t>（四）开展绿色勘查、绿色矿山评价与研究；承担矿产资源勘查开发技术创新、示范应用和成果转化。</w:t>
      </w:r>
    </w:p>
    <w:p w14:paraId="09755268">
      <w:pPr>
        <w:widowControl/>
        <w:ind w:firstLine="640" w:firstLineChars="200"/>
        <w:rPr>
          <w:rFonts w:ascii="仿宋_GB2312" w:eastAsia="仿宋_GB2312"/>
          <w:sz w:val="32"/>
          <w:szCs w:val="32"/>
        </w:rPr>
      </w:pPr>
      <w:r>
        <w:rPr>
          <w:rFonts w:hint="eastAsia" w:ascii="仿宋_GB2312" w:eastAsia="仿宋_GB2312"/>
          <w:sz w:val="32"/>
          <w:szCs w:val="32"/>
        </w:rPr>
        <w:t>（五）检查指导自治区财政出资地质勘查项目资金使用。</w:t>
      </w:r>
    </w:p>
    <w:p w14:paraId="099C5F28">
      <w:pPr>
        <w:widowControl/>
        <w:ind w:firstLine="640" w:firstLineChars="200"/>
        <w:rPr>
          <w:rFonts w:ascii="仿宋_GB2312" w:eastAsia="仿宋_GB2312"/>
          <w:sz w:val="32"/>
          <w:szCs w:val="32"/>
        </w:rPr>
      </w:pPr>
      <w:r>
        <w:rPr>
          <w:rFonts w:hint="eastAsia" w:ascii="仿宋_GB2312" w:eastAsia="仿宋_GB2312"/>
          <w:sz w:val="32"/>
          <w:szCs w:val="32"/>
        </w:rPr>
        <w:t>（六）承办自治区自然资源厅交办的其他工作。</w:t>
      </w:r>
    </w:p>
    <w:p w14:paraId="70A73ED4">
      <w:pPr>
        <w:widowControl/>
        <w:ind w:firstLine="640" w:firstLineChars="200"/>
        <w:jc w:val="left"/>
        <w:outlineLvl w:val="1"/>
        <w:rPr>
          <w:rFonts w:ascii="黑体" w:eastAsia="黑体"/>
          <w:sz w:val="32"/>
          <w:szCs w:val="32"/>
        </w:rPr>
      </w:pPr>
      <w:r>
        <w:rPr>
          <w:rFonts w:ascii="黑体" w:eastAsia="黑体"/>
          <w:sz w:val="32"/>
          <w:szCs w:val="32"/>
        </w:rPr>
        <w:t>二、机构设置</w:t>
      </w:r>
    </w:p>
    <w:p w14:paraId="788F6535">
      <w:pPr>
        <w:widowControl/>
        <w:ind w:firstLine="640" w:firstLineChars="200"/>
        <w:rPr>
          <w:rFonts w:ascii="仿宋_GB2312" w:eastAsia="仿宋_GB2312"/>
          <w:color w:val="0000FF"/>
          <w:sz w:val="32"/>
          <w:szCs w:val="32"/>
        </w:rPr>
      </w:pPr>
      <w:r>
        <w:rPr>
          <w:rFonts w:ascii="仿宋_GB2312" w:eastAsia="仿宋_GB2312"/>
          <w:sz w:val="32"/>
          <w:szCs w:val="32"/>
        </w:rPr>
        <w:t>新疆维吾尔自治区地质勘查质量评价中心无下属预算单位</w:t>
      </w:r>
      <w:r>
        <w:rPr>
          <w:rFonts w:hint="eastAsia" w:ascii="仿宋_GB2312" w:eastAsia="仿宋_GB2312"/>
          <w:sz w:val="32"/>
          <w:szCs w:val="32"/>
        </w:rPr>
        <w:t>。</w:t>
      </w:r>
    </w:p>
    <w:p w14:paraId="0D2ED849">
      <w:pPr>
        <w:widowControl/>
      </w:pPr>
      <w:r>
        <w:rPr>
          <w:color w:val="0000FF"/>
          <w:sz w:val="0"/>
          <w:szCs w:val="0"/>
        </w:rPr>
        <w:br w:type="page"/>
      </w:r>
    </w:p>
    <w:p w14:paraId="48D74355">
      <w:pPr>
        <w:widowControl/>
        <w:jc w:val="center"/>
        <w:outlineLvl w:val="0"/>
        <w:rPr>
          <w:rFonts w:ascii="黑体" w:eastAsia="黑体"/>
          <w:sz w:val="32"/>
          <w:szCs w:val="32"/>
        </w:rPr>
      </w:pPr>
      <w:r>
        <w:rPr>
          <w:rFonts w:ascii="黑体" w:eastAsia="黑体"/>
          <w:sz w:val="32"/>
          <w:szCs w:val="32"/>
        </w:rPr>
        <w:t>第二部分 部门决算情况说明</w:t>
      </w:r>
    </w:p>
    <w:p w14:paraId="565CDC2A">
      <w:pPr>
        <w:widowControl/>
        <w:ind w:firstLine="640" w:firstLineChars="200"/>
        <w:jc w:val="left"/>
        <w:outlineLvl w:val="1"/>
        <w:rPr>
          <w:rFonts w:ascii="黑体" w:eastAsia="黑体"/>
          <w:sz w:val="32"/>
          <w:szCs w:val="32"/>
        </w:rPr>
      </w:pPr>
      <w:r>
        <w:rPr>
          <w:rFonts w:ascii="黑体" w:eastAsia="黑体"/>
          <w:sz w:val="32"/>
          <w:szCs w:val="32"/>
        </w:rPr>
        <w:t>一、收入支出决算总体情况说明</w:t>
      </w:r>
    </w:p>
    <w:p w14:paraId="37EB5CBB">
      <w:pPr>
        <w:widowControl/>
        <w:ind w:firstLine="640" w:firstLineChars="200"/>
        <w:rPr>
          <w:rFonts w:ascii="仿宋_GB2312" w:eastAsia="仿宋_GB2312"/>
          <w:sz w:val="32"/>
          <w:szCs w:val="32"/>
        </w:rPr>
      </w:pPr>
      <w:r>
        <w:rPr>
          <w:rFonts w:ascii="仿宋_GB2312" w:eastAsia="仿宋_GB2312"/>
          <w:sz w:val="32"/>
          <w:szCs w:val="32"/>
        </w:rPr>
        <w:t>2025年度收入总计1,584.15万元，其中：本年收入合计1,584.15万元，使用非财政拨款结余（含专用结余）0.00万元，年初结转和结余0.00万元。</w:t>
      </w:r>
    </w:p>
    <w:p w14:paraId="70CF8812">
      <w:pPr>
        <w:widowControl/>
        <w:ind w:firstLine="640" w:firstLineChars="200"/>
        <w:rPr>
          <w:rFonts w:ascii="仿宋_GB2312" w:eastAsia="仿宋_GB2312"/>
          <w:sz w:val="32"/>
          <w:szCs w:val="32"/>
        </w:rPr>
      </w:pPr>
      <w:r>
        <w:rPr>
          <w:rFonts w:ascii="仿宋_GB2312" w:eastAsia="仿宋_GB2312"/>
          <w:sz w:val="32"/>
          <w:szCs w:val="32"/>
        </w:rPr>
        <w:t>2025年度支出总计1,584.15万元，其中：本年支出合计1,562.76万元，结余分配0.00万元，年末结转和结余21.39万元。</w:t>
      </w:r>
    </w:p>
    <w:p w14:paraId="183572BE">
      <w:pPr>
        <w:widowControl/>
        <w:ind w:firstLine="640" w:firstLineChars="200"/>
        <w:rPr>
          <w:rFonts w:ascii="仿宋_GB2312" w:eastAsia="仿宋_GB2312"/>
          <w:color w:val="0000FF"/>
          <w:sz w:val="32"/>
          <w:szCs w:val="32"/>
        </w:rPr>
      </w:pPr>
      <w:r>
        <w:rPr>
          <w:rFonts w:ascii="仿宋_GB2312" w:eastAsia="仿宋_GB2312"/>
          <w:sz w:val="32"/>
          <w:szCs w:val="32"/>
        </w:rPr>
        <w:t>收入支出总体与上年相比，增加851.67万元，增长116.27%，主要原因是：</w:t>
      </w:r>
      <w:r>
        <w:rPr>
          <w:rFonts w:hint="eastAsia" w:ascii="仿宋_GB2312" w:eastAsia="仿宋_GB2312"/>
          <w:sz w:val="32"/>
          <w:szCs w:val="32"/>
        </w:rPr>
        <w:t>一是新增人员</w:t>
      </w:r>
      <w:r>
        <w:rPr>
          <w:rFonts w:hint="eastAsia" w:ascii="仿宋_GB2312" w:eastAsia="仿宋_GB2312"/>
          <w:sz w:val="32"/>
          <w:szCs w:val="32"/>
          <w:lang w:val="en-US" w:eastAsia="zh-CN"/>
        </w:rPr>
        <w:t>25人，增加</w:t>
      </w:r>
      <w:r>
        <w:rPr>
          <w:rFonts w:hint="eastAsia" w:ascii="仿宋_GB2312" w:eastAsia="仿宋_GB2312"/>
          <w:sz w:val="32"/>
          <w:szCs w:val="32"/>
        </w:rPr>
        <w:t>在职人员工资及福利</w:t>
      </w:r>
      <w:r>
        <w:rPr>
          <w:rFonts w:hint="eastAsia" w:ascii="仿宋_GB2312" w:eastAsia="仿宋_GB2312"/>
          <w:sz w:val="32"/>
          <w:szCs w:val="32"/>
          <w:lang w:eastAsia="zh-CN"/>
        </w:rPr>
        <w:t>，</w:t>
      </w:r>
      <w:r>
        <w:rPr>
          <w:rFonts w:hint="eastAsia" w:ascii="仿宋_GB2312" w:eastAsia="仿宋_GB2312"/>
          <w:sz w:val="32"/>
          <w:szCs w:val="32"/>
        </w:rPr>
        <w:t>相应的社保缴费增加，基本支出增加；二是财政项目支出增加，新增项目自治区绿色矿山评估与核查、2025年自治区地质勘查项目野外监督实施经费和新疆维吾尔自治区矿产资源总体规划项目（2026-2030年）项目</w:t>
      </w:r>
      <w:r>
        <w:rPr>
          <w:rFonts w:ascii="仿宋_GB2312" w:eastAsia="仿宋_GB2312"/>
          <w:sz w:val="32"/>
          <w:szCs w:val="32"/>
        </w:rPr>
        <w:t>。</w:t>
      </w:r>
    </w:p>
    <w:p w14:paraId="2A9D06E3">
      <w:pPr>
        <w:widowControl/>
        <w:ind w:firstLine="640" w:firstLineChars="200"/>
        <w:jc w:val="left"/>
        <w:outlineLvl w:val="1"/>
        <w:rPr>
          <w:rFonts w:ascii="黑体" w:eastAsia="黑体"/>
          <w:sz w:val="32"/>
          <w:szCs w:val="32"/>
        </w:rPr>
      </w:pPr>
      <w:r>
        <w:rPr>
          <w:rFonts w:ascii="黑体" w:eastAsia="黑体"/>
          <w:sz w:val="32"/>
          <w:szCs w:val="32"/>
        </w:rPr>
        <w:t>二、收入决算情况说明</w:t>
      </w:r>
    </w:p>
    <w:p w14:paraId="63E7DF2E">
      <w:pPr>
        <w:widowControl/>
        <w:ind w:firstLine="640" w:firstLineChars="200"/>
        <w:rPr>
          <w:rFonts w:ascii="仿宋_GB2312" w:eastAsia="仿宋_GB2312"/>
          <w:sz w:val="32"/>
          <w:szCs w:val="32"/>
        </w:rPr>
      </w:pPr>
      <w:r>
        <w:rPr>
          <w:rFonts w:ascii="仿宋_GB2312" w:eastAsia="仿宋_GB2312"/>
          <w:sz w:val="32"/>
          <w:szCs w:val="32"/>
        </w:rPr>
        <w:t>本年收入1,584.15万元，其中：财政拨款收入1,559.07万元,占98.42%；上级补助收入0.00万元,占0.00%；事业收入0.00万元，占0.00%；经营收入0.00万元,占0.00%；附属单位上缴收入0.00万元，占0.00%；其他收入25.08万元，占1.58%。</w:t>
      </w:r>
    </w:p>
    <w:p w14:paraId="6B254994">
      <w:pPr>
        <w:widowControl/>
        <w:ind w:firstLine="640" w:firstLineChars="200"/>
        <w:jc w:val="left"/>
        <w:outlineLvl w:val="1"/>
        <w:rPr>
          <w:rFonts w:ascii="黑体" w:eastAsia="黑体"/>
          <w:sz w:val="32"/>
          <w:szCs w:val="32"/>
        </w:rPr>
      </w:pPr>
      <w:r>
        <w:rPr>
          <w:rFonts w:ascii="黑体" w:eastAsia="黑体"/>
          <w:sz w:val="32"/>
          <w:szCs w:val="32"/>
        </w:rPr>
        <w:t>三、支出决算情况说明</w:t>
      </w:r>
    </w:p>
    <w:p w14:paraId="3271726A">
      <w:pPr>
        <w:widowControl/>
        <w:ind w:firstLine="640" w:firstLineChars="200"/>
        <w:rPr>
          <w:rFonts w:ascii="仿宋_GB2312" w:eastAsia="仿宋_GB2312"/>
          <w:sz w:val="32"/>
          <w:szCs w:val="32"/>
        </w:rPr>
      </w:pPr>
      <w:r>
        <w:rPr>
          <w:rFonts w:ascii="仿宋_GB2312" w:eastAsia="仿宋_GB2312"/>
          <w:sz w:val="32"/>
          <w:szCs w:val="32"/>
        </w:rPr>
        <w:t>本年支出1,562.76万元，其中：基本支出659.07万元，占42.17%；项目支出903.69万元，占57.83%；上缴上级支出0.00万元，占0.00%；经营支出0.00万元，占0.00%；对附属单位补助支出0.00万元，占0.00%。</w:t>
      </w:r>
    </w:p>
    <w:p w14:paraId="64193D19">
      <w:pPr>
        <w:widowControl/>
        <w:ind w:firstLine="640" w:firstLineChars="200"/>
        <w:jc w:val="left"/>
        <w:outlineLvl w:val="1"/>
        <w:rPr>
          <w:rFonts w:ascii="黑体" w:eastAsia="黑体"/>
          <w:sz w:val="32"/>
          <w:szCs w:val="32"/>
        </w:rPr>
      </w:pPr>
      <w:r>
        <w:rPr>
          <w:rFonts w:ascii="黑体" w:eastAsia="黑体"/>
          <w:sz w:val="32"/>
          <w:szCs w:val="32"/>
        </w:rPr>
        <w:t>四、财政拨款收入支出决算总体情况说明</w:t>
      </w:r>
    </w:p>
    <w:p w14:paraId="6F036A35">
      <w:pPr>
        <w:widowControl/>
        <w:ind w:firstLine="640" w:firstLineChars="200"/>
        <w:rPr>
          <w:rFonts w:ascii="仿宋_GB2312" w:eastAsia="仿宋_GB2312"/>
          <w:sz w:val="32"/>
          <w:szCs w:val="32"/>
        </w:rPr>
      </w:pPr>
      <w:r>
        <w:rPr>
          <w:rFonts w:ascii="仿宋_GB2312" w:eastAsia="仿宋_GB2312"/>
          <w:sz w:val="32"/>
          <w:szCs w:val="32"/>
        </w:rPr>
        <w:t>2025年度财政拨款收入总计1,559.07万元，其中：年初财政拨款结转和结余0.00万元，本年财政拨款收入1,559.07万元。财政拨款支出总计1,559.07万元，其中：年末财政拨款结转和结余0.00万元，本年财政拨款支出1,559.07万元。</w:t>
      </w:r>
    </w:p>
    <w:p w14:paraId="3AFC550F">
      <w:pPr>
        <w:widowControl/>
        <w:ind w:firstLine="640" w:firstLineChars="200"/>
        <w:rPr>
          <w:rFonts w:ascii="仿宋_GB2312" w:eastAsia="仿宋_GB2312"/>
          <w:sz w:val="32"/>
          <w:szCs w:val="32"/>
        </w:rPr>
      </w:pPr>
      <w:r>
        <w:rPr>
          <w:rFonts w:ascii="仿宋_GB2312" w:eastAsia="仿宋_GB2312"/>
          <w:sz w:val="32"/>
          <w:szCs w:val="32"/>
        </w:rPr>
        <w:t>财政拨款收入支出总体与上年相比，增加826.59万元，增长112.85%，主要原因是：</w:t>
      </w:r>
      <w:r>
        <w:rPr>
          <w:rFonts w:hint="eastAsia" w:ascii="仿宋_GB2312" w:eastAsia="仿宋_GB2312"/>
          <w:sz w:val="32"/>
          <w:szCs w:val="32"/>
        </w:rPr>
        <w:t>一是新增人员</w:t>
      </w:r>
      <w:r>
        <w:rPr>
          <w:rFonts w:hint="eastAsia" w:ascii="仿宋_GB2312" w:eastAsia="仿宋_GB2312"/>
          <w:sz w:val="32"/>
          <w:szCs w:val="32"/>
          <w:lang w:val="en-US" w:eastAsia="zh-CN"/>
        </w:rPr>
        <w:t>25人，</w:t>
      </w:r>
      <w:r>
        <w:rPr>
          <w:rFonts w:hint="eastAsia" w:ascii="仿宋_GB2312" w:eastAsia="仿宋_GB2312"/>
          <w:sz w:val="32"/>
          <w:szCs w:val="32"/>
        </w:rPr>
        <w:t>增加了在职人员工资及福利</w:t>
      </w:r>
      <w:r>
        <w:rPr>
          <w:rFonts w:hint="eastAsia" w:ascii="仿宋_GB2312" w:eastAsia="仿宋_GB2312"/>
          <w:sz w:val="32"/>
          <w:szCs w:val="32"/>
          <w:lang w:eastAsia="zh-CN"/>
        </w:rPr>
        <w:t>，</w:t>
      </w:r>
      <w:r>
        <w:rPr>
          <w:rFonts w:hint="eastAsia" w:ascii="仿宋_GB2312" w:eastAsia="仿宋_GB2312"/>
          <w:sz w:val="32"/>
          <w:szCs w:val="32"/>
        </w:rPr>
        <w:t>相应的社保缴费增加，基本支出增加；二是财政项目支出增加，新增项目自治区绿色矿山评估与核查、2025年自治区地质勘查项目野外监督实施经费和新疆维吾尔自治区矿产资源总体规划项目（2026-2030年）项目。</w:t>
      </w:r>
      <w:r>
        <w:rPr>
          <w:rFonts w:ascii="仿宋_GB2312" w:eastAsia="仿宋_GB2312"/>
          <w:sz w:val="32"/>
          <w:szCs w:val="32"/>
        </w:rPr>
        <w:t>与年初预算相比，年初预算数1,247.95万元，决算数1,559.07万元，预决算差异率24.93%，主要原因是：</w:t>
      </w:r>
      <w:r>
        <w:rPr>
          <w:rFonts w:hint="eastAsia" w:ascii="仿宋_GB2312" w:eastAsia="仿宋_GB2312"/>
          <w:sz w:val="32"/>
          <w:szCs w:val="32"/>
        </w:rPr>
        <w:t>新增人员</w:t>
      </w:r>
      <w:r>
        <w:rPr>
          <w:rFonts w:hint="eastAsia" w:ascii="仿宋_GB2312" w:eastAsia="仿宋_GB2312"/>
          <w:sz w:val="32"/>
          <w:szCs w:val="32"/>
          <w:lang w:val="en-US" w:eastAsia="zh-CN"/>
        </w:rPr>
        <w:t>25人，</w:t>
      </w:r>
      <w:r>
        <w:rPr>
          <w:rFonts w:hint="eastAsia" w:ascii="仿宋_GB2312" w:eastAsia="仿宋_GB2312"/>
          <w:sz w:val="32"/>
          <w:szCs w:val="32"/>
          <w:lang w:eastAsia="zh-CN"/>
        </w:rPr>
        <w:t>追加</w:t>
      </w:r>
      <w:r>
        <w:rPr>
          <w:rFonts w:hint="eastAsia" w:ascii="仿宋_GB2312" w:eastAsia="仿宋_GB2312"/>
          <w:sz w:val="32"/>
          <w:szCs w:val="32"/>
        </w:rPr>
        <w:t>了在职人员工资及福利</w:t>
      </w:r>
      <w:r>
        <w:rPr>
          <w:rFonts w:hint="eastAsia" w:ascii="仿宋_GB2312" w:eastAsia="仿宋_GB2312"/>
          <w:sz w:val="32"/>
          <w:szCs w:val="32"/>
          <w:lang w:eastAsia="zh-CN"/>
        </w:rPr>
        <w:t>，</w:t>
      </w:r>
      <w:r>
        <w:rPr>
          <w:rFonts w:hint="eastAsia" w:ascii="仿宋_GB2312" w:eastAsia="仿宋_GB2312"/>
          <w:sz w:val="32"/>
          <w:szCs w:val="32"/>
        </w:rPr>
        <w:t>相应的社保缴费</w:t>
      </w:r>
      <w:r>
        <w:rPr>
          <w:rFonts w:hint="eastAsia" w:ascii="仿宋_GB2312" w:eastAsia="仿宋_GB2312"/>
          <w:sz w:val="32"/>
          <w:szCs w:val="32"/>
          <w:lang w:eastAsia="zh-CN"/>
        </w:rPr>
        <w:t>增加；</w:t>
      </w:r>
      <w:r>
        <w:rPr>
          <w:rFonts w:hint="eastAsia" w:ascii="仿宋_GB2312" w:eastAsia="仿宋_GB2312"/>
          <w:sz w:val="32"/>
          <w:szCs w:val="32"/>
        </w:rPr>
        <w:t>追加政策性调资增资、驻村南疆工作补贴经费、结亲交通费等</w:t>
      </w:r>
      <w:r>
        <w:rPr>
          <w:rFonts w:ascii="仿宋_GB2312" w:eastAsia="仿宋_GB2312"/>
          <w:sz w:val="32"/>
          <w:szCs w:val="32"/>
        </w:rPr>
        <w:t>。</w:t>
      </w:r>
    </w:p>
    <w:p w14:paraId="2CBA1E19">
      <w:pPr>
        <w:widowControl/>
        <w:ind w:firstLine="640" w:firstLineChars="200"/>
        <w:jc w:val="left"/>
        <w:outlineLvl w:val="1"/>
        <w:rPr>
          <w:rFonts w:ascii="黑体" w:eastAsia="黑体"/>
          <w:sz w:val="32"/>
          <w:szCs w:val="32"/>
        </w:rPr>
      </w:pPr>
      <w:r>
        <w:rPr>
          <w:rFonts w:ascii="黑体" w:eastAsia="黑体"/>
          <w:sz w:val="32"/>
          <w:szCs w:val="32"/>
        </w:rPr>
        <w:t>五、一般公共预算财政拨款支出决算情况说明</w:t>
      </w:r>
    </w:p>
    <w:p w14:paraId="51B97E3A">
      <w:pPr>
        <w:widowControl/>
        <w:ind w:firstLine="640" w:firstLineChars="200"/>
        <w:jc w:val="left"/>
        <w:rPr>
          <w:rFonts w:ascii="仿宋_GB2312" w:eastAsia="仿宋_GB2312"/>
          <w:sz w:val="32"/>
          <w:szCs w:val="32"/>
        </w:rPr>
      </w:pPr>
      <w:r>
        <w:rPr>
          <w:rFonts w:ascii="仿宋_GB2312" w:eastAsia="仿宋_GB2312"/>
          <w:sz w:val="32"/>
          <w:szCs w:val="32"/>
        </w:rPr>
        <w:t>按照党中央、国务院关于党政机关习惯过紧日子的有关要求，厉行节约办一切事业，严控一般性支出。同时坚持有保有压，优化支出结构，提高资金使用效率，合理保障</w:t>
      </w:r>
      <w:r>
        <w:rPr>
          <w:rFonts w:hint="eastAsia" w:ascii="仿宋_GB2312" w:eastAsia="仿宋_GB2312"/>
          <w:sz w:val="32"/>
          <w:szCs w:val="32"/>
        </w:rPr>
        <w:t>单位日常运转</w:t>
      </w:r>
      <w:r>
        <w:rPr>
          <w:rFonts w:ascii="仿宋_GB2312" w:eastAsia="仿宋_GB2312"/>
          <w:sz w:val="32"/>
          <w:szCs w:val="32"/>
        </w:rPr>
        <w:t>、</w:t>
      </w:r>
      <w:r>
        <w:rPr>
          <w:rFonts w:hint="eastAsia" w:ascii="仿宋_GB2312" w:eastAsia="仿宋_GB2312"/>
          <w:sz w:val="32"/>
          <w:szCs w:val="32"/>
        </w:rPr>
        <w:t>完成重点工作任务</w:t>
      </w:r>
      <w:r>
        <w:rPr>
          <w:rFonts w:ascii="仿宋_GB2312" w:eastAsia="仿宋_GB2312"/>
          <w:sz w:val="32"/>
          <w:szCs w:val="32"/>
        </w:rPr>
        <w:t>、</w:t>
      </w:r>
      <w:r>
        <w:rPr>
          <w:rFonts w:hint="eastAsia" w:ascii="仿宋_GB2312" w:eastAsia="仿宋_GB2312"/>
          <w:sz w:val="32"/>
          <w:szCs w:val="32"/>
        </w:rPr>
        <w:t>推进事业发展需要</w:t>
      </w:r>
      <w:r>
        <w:rPr>
          <w:rFonts w:ascii="仿宋_GB2312" w:eastAsia="仿宋_GB2312"/>
          <w:sz w:val="32"/>
          <w:szCs w:val="32"/>
        </w:rPr>
        <w:t>等重点支出，体现在有关支出科目中。</w:t>
      </w:r>
    </w:p>
    <w:p w14:paraId="02AFD90A">
      <w:pPr>
        <w:widowControl/>
        <w:ind w:firstLine="640" w:firstLineChars="200"/>
        <w:jc w:val="left"/>
        <w:rPr>
          <w:rFonts w:hint="eastAsia" w:ascii="仿宋_GB2312" w:eastAsia="仿宋_GB2312"/>
          <w:sz w:val="32"/>
          <w:szCs w:val="32"/>
          <w:lang w:eastAsia="zh-CN"/>
        </w:rPr>
      </w:pPr>
      <w:r>
        <w:rPr>
          <w:rFonts w:ascii="仿宋_GB2312" w:eastAsia="仿宋_GB2312"/>
          <w:sz w:val="32"/>
          <w:szCs w:val="32"/>
        </w:rPr>
        <w:t>按照支出功能分类，</w:t>
      </w:r>
      <w:r>
        <w:rPr>
          <w:rFonts w:hint="default" w:ascii="仿宋_GB2312" w:eastAsia="仿宋_GB2312"/>
          <w:sz w:val="32"/>
          <w:szCs w:val="32"/>
        </w:rPr>
        <w:t>自然资源海洋气象等支出(类)自然资源事务(款)地质勘查与矿产资源管理(项)的支出占本年财政拨款支出总额的比重最高，2025年度决算数为900.00万元，占比57.73%，主要用于新疆维吾尔自治区矿产资源总体规划（2026-2030年）</w:t>
      </w:r>
      <w:r>
        <w:rPr>
          <w:rFonts w:hint="eastAsia" w:ascii="仿宋_GB2312" w:eastAsia="仿宋_GB2312"/>
          <w:sz w:val="32"/>
          <w:szCs w:val="32"/>
          <w:lang w:eastAsia="zh-CN"/>
        </w:rPr>
        <w:t>项目、自治区绿色矿山评估与核查项目、自治区地质勘查项目野外监督实施费项目。</w:t>
      </w:r>
    </w:p>
    <w:p w14:paraId="79F8B33B">
      <w:pPr>
        <w:widowControl/>
        <w:ind w:firstLine="640" w:firstLineChars="200"/>
        <w:outlineLvl w:val="2"/>
        <w:rPr>
          <w:rFonts w:ascii="黑体" w:eastAsia="黑体"/>
          <w:sz w:val="32"/>
          <w:szCs w:val="32"/>
        </w:rPr>
      </w:pPr>
      <w:r>
        <w:rPr>
          <w:rFonts w:ascii="黑体" w:eastAsia="黑体"/>
          <w:sz w:val="32"/>
          <w:szCs w:val="32"/>
        </w:rPr>
        <w:t>（一）一般公共预算财政拨款支出决算总体情况</w:t>
      </w:r>
    </w:p>
    <w:p w14:paraId="671B58A3">
      <w:pPr>
        <w:widowControl/>
        <w:ind w:firstLine="640" w:firstLineChars="200"/>
        <w:rPr>
          <w:rFonts w:ascii="仿宋_GB2312" w:eastAsia="仿宋_GB2312"/>
          <w:sz w:val="32"/>
          <w:szCs w:val="32"/>
        </w:rPr>
      </w:pPr>
      <w:r>
        <w:rPr>
          <w:rFonts w:ascii="仿宋_GB2312" w:eastAsia="仿宋_GB2312"/>
          <w:sz w:val="32"/>
          <w:szCs w:val="32"/>
        </w:rPr>
        <w:t>2025年度一般公共预算财政拨款支出1,559.07万元，占本年支出合计的99.76%。与上年相比，增加826.59万元，增长112.85%，主要原因是：</w:t>
      </w:r>
      <w:r>
        <w:rPr>
          <w:rFonts w:hint="eastAsia" w:ascii="仿宋_GB2312" w:eastAsia="仿宋_GB2312"/>
          <w:sz w:val="32"/>
          <w:szCs w:val="32"/>
        </w:rPr>
        <w:t>一是新增人员</w:t>
      </w:r>
      <w:r>
        <w:rPr>
          <w:rFonts w:hint="eastAsia" w:ascii="仿宋_GB2312" w:eastAsia="仿宋_GB2312"/>
          <w:sz w:val="32"/>
          <w:szCs w:val="32"/>
          <w:lang w:val="en-US" w:eastAsia="zh-CN"/>
        </w:rPr>
        <w:t>25人，</w:t>
      </w:r>
      <w:r>
        <w:rPr>
          <w:rFonts w:hint="eastAsia" w:ascii="仿宋_GB2312" w:eastAsia="仿宋_GB2312"/>
          <w:sz w:val="32"/>
          <w:szCs w:val="32"/>
        </w:rPr>
        <w:t>增加了在职人员工资及福利</w:t>
      </w:r>
      <w:r>
        <w:rPr>
          <w:rFonts w:hint="eastAsia" w:ascii="仿宋_GB2312" w:eastAsia="仿宋_GB2312"/>
          <w:sz w:val="32"/>
          <w:szCs w:val="32"/>
          <w:lang w:eastAsia="zh-CN"/>
        </w:rPr>
        <w:t>，</w:t>
      </w:r>
      <w:r>
        <w:rPr>
          <w:rFonts w:hint="eastAsia" w:ascii="仿宋_GB2312" w:eastAsia="仿宋_GB2312"/>
          <w:sz w:val="32"/>
          <w:szCs w:val="32"/>
        </w:rPr>
        <w:t>相应的社保缴费增加，基本支出增加；二是财政项目支出增加，新增项目自治区绿色矿山评估与核查、2025年自治区地质勘查项目野外监督实施经费和新疆维吾尔自治区矿产资源总体规划项目（2026-2030年）项目</w:t>
      </w:r>
      <w:r>
        <w:rPr>
          <w:rFonts w:ascii="仿宋_GB2312" w:eastAsia="仿宋_GB2312"/>
          <w:sz w:val="32"/>
          <w:szCs w:val="32"/>
        </w:rPr>
        <w:t>。与年初预算相比，年初预算数1,247.95万元，决算数，1,559.07万元，预决算差异率24.93%，主要原因是：</w:t>
      </w:r>
      <w:r>
        <w:rPr>
          <w:rFonts w:hint="eastAsia" w:ascii="仿宋_GB2312" w:eastAsia="仿宋_GB2312"/>
          <w:sz w:val="32"/>
          <w:szCs w:val="32"/>
        </w:rPr>
        <w:t>新增人员</w:t>
      </w:r>
      <w:r>
        <w:rPr>
          <w:rFonts w:hint="eastAsia" w:ascii="仿宋_GB2312" w:eastAsia="仿宋_GB2312"/>
          <w:sz w:val="32"/>
          <w:szCs w:val="32"/>
          <w:lang w:val="en-US" w:eastAsia="zh-CN"/>
        </w:rPr>
        <w:t>25人，</w:t>
      </w:r>
      <w:r>
        <w:rPr>
          <w:rFonts w:hint="eastAsia" w:ascii="仿宋_GB2312" w:eastAsia="仿宋_GB2312"/>
          <w:sz w:val="32"/>
          <w:szCs w:val="32"/>
          <w:lang w:eastAsia="zh-CN"/>
        </w:rPr>
        <w:t>追加</w:t>
      </w:r>
      <w:r>
        <w:rPr>
          <w:rFonts w:hint="eastAsia" w:ascii="仿宋_GB2312" w:eastAsia="仿宋_GB2312"/>
          <w:sz w:val="32"/>
          <w:szCs w:val="32"/>
        </w:rPr>
        <w:t>在职人员工资及福利</w:t>
      </w:r>
      <w:r>
        <w:rPr>
          <w:rFonts w:hint="eastAsia" w:ascii="仿宋_GB2312" w:eastAsia="仿宋_GB2312"/>
          <w:sz w:val="32"/>
          <w:szCs w:val="32"/>
          <w:lang w:eastAsia="zh-CN"/>
        </w:rPr>
        <w:t>，</w:t>
      </w:r>
      <w:r>
        <w:rPr>
          <w:rFonts w:hint="eastAsia" w:ascii="仿宋_GB2312" w:eastAsia="仿宋_GB2312"/>
          <w:sz w:val="32"/>
          <w:szCs w:val="32"/>
        </w:rPr>
        <w:t>相应的社保缴费</w:t>
      </w:r>
      <w:r>
        <w:rPr>
          <w:rFonts w:hint="eastAsia" w:ascii="仿宋_GB2312" w:eastAsia="仿宋_GB2312"/>
          <w:sz w:val="32"/>
          <w:szCs w:val="32"/>
          <w:lang w:eastAsia="zh-CN"/>
        </w:rPr>
        <w:t>增加；</w:t>
      </w:r>
      <w:r>
        <w:rPr>
          <w:rFonts w:hint="eastAsia" w:ascii="仿宋_GB2312" w:eastAsia="仿宋_GB2312"/>
          <w:sz w:val="32"/>
          <w:szCs w:val="32"/>
        </w:rPr>
        <w:t>追加政策性调资增资、驻村南疆工作补贴经费、结亲交通费等</w:t>
      </w:r>
      <w:r>
        <w:rPr>
          <w:rFonts w:ascii="仿宋_GB2312" w:eastAsia="仿宋_GB2312"/>
          <w:sz w:val="32"/>
          <w:szCs w:val="32"/>
        </w:rPr>
        <w:t>。</w:t>
      </w:r>
    </w:p>
    <w:p w14:paraId="6666E4DB">
      <w:pPr>
        <w:widowControl/>
        <w:ind w:firstLine="640" w:firstLineChars="200"/>
        <w:jc w:val="left"/>
        <w:outlineLvl w:val="2"/>
        <w:rPr>
          <w:rFonts w:ascii="黑体" w:eastAsia="黑体"/>
          <w:sz w:val="32"/>
          <w:szCs w:val="32"/>
        </w:rPr>
      </w:pPr>
      <w:r>
        <w:rPr>
          <w:rFonts w:ascii="黑体" w:eastAsia="黑体"/>
          <w:sz w:val="32"/>
          <w:szCs w:val="32"/>
        </w:rPr>
        <w:t>（二）一般公共预算财政拨款支出决算结构情况</w:t>
      </w:r>
    </w:p>
    <w:p w14:paraId="093A7C54">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1.</w:t>
      </w:r>
      <w:r>
        <w:rPr>
          <w:rFonts w:ascii="仿宋_GB2312" w:eastAsia="仿宋_GB2312"/>
          <w:sz w:val="32"/>
          <w:szCs w:val="32"/>
        </w:rPr>
        <w:t>社会保障和就业支出（类）93.71万元，占6.01%。</w:t>
      </w:r>
    </w:p>
    <w:p w14:paraId="00A44337">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2.</w:t>
      </w:r>
      <w:r>
        <w:rPr>
          <w:rFonts w:ascii="仿宋_GB2312" w:eastAsia="仿宋_GB2312"/>
          <w:sz w:val="32"/>
          <w:szCs w:val="32"/>
        </w:rPr>
        <w:t>卫生健康支出（类）62.29万元，占4.00%。</w:t>
      </w:r>
    </w:p>
    <w:p w14:paraId="06DE3A6C">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3.</w:t>
      </w:r>
      <w:r>
        <w:rPr>
          <w:rFonts w:ascii="仿宋_GB2312" w:eastAsia="仿宋_GB2312"/>
          <w:sz w:val="32"/>
          <w:szCs w:val="32"/>
        </w:rPr>
        <w:t>自然资源海洋气象等支出（类）1,356.65万元，占87.02%。</w:t>
      </w:r>
    </w:p>
    <w:p w14:paraId="7719ABC7">
      <w:pPr>
        <w:widowControl/>
        <w:ind w:firstLine="640" w:firstLineChars="200"/>
        <w:rPr>
          <w:rFonts w:ascii="仿宋_GB2312" w:eastAsia="仿宋_GB2312"/>
          <w:sz w:val="32"/>
          <w:szCs w:val="32"/>
        </w:rPr>
      </w:pPr>
      <w:r>
        <w:rPr>
          <w:rFonts w:hint="eastAsia" w:ascii="仿宋_GB2312" w:eastAsia="仿宋_GB2312"/>
          <w:sz w:val="32"/>
          <w:szCs w:val="32"/>
          <w:lang w:val="en-US" w:eastAsia="zh-CN"/>
        </w:rPr>
        <w:t>4.</w:t>
      </w:r>
      <w:r>
        <w:rPr>
          <w:rFonts w:ascii="仿宋_GB2312" w:eastAsia="仿宋_GB2312"/>
          <w:sz w:val="32"/>
          <w:szCs w:val="32"/>
        </w:rPr>
        <w:t>住房保障支出（类）46.41万元，占2.98%。</w:t>
      </w:r>
    </w:p>
    <w:p w14:paraId="3D340455">
      <w:pPr>
        <w:widowControl/>
        <w:ind w:firstLine="640" w:firstLineChars="200"/>
        <w:jc w:val="left"/>
        <w:outlineLvl w:val="2"/>
        <w:rPr>
          <w:rFonts w:ascii="黑体" w:eastAsia="黑体"/>
          <w:sz w:val="32"/>
          <w:szCs w:val="32"/>
        </w:rPr>
      </w:pPr>
      <w:r>
        <w:rPr>
          <w:rFonts w:ascii="黑体" w:eastAsia="黑体"/>
          <w:sz w:val="32"/>
          <w:szCs w:val="32"/>
        </w:rPr>
        <w:t>（三）一般公共预算财政拨款支出决算具体情况</w:t>
      </w:r>
    </w:p>
    <w:p w14:paraId="1E9441C1">
      <w:pPr>
        <w:widowControl/>
        <w:ind w:firstLine="640" w:firstLineChars="200"/>
        <w:rPr>
          <w:rFonts w:ascii="仿宋_GB2312" w:eastAsia="仿宋_GB2312"/>
          <w:sz w:val="32"/>
          <w:szCs w:val="32"/>
        </w:rPr>
      </w:pPr>
      <w:r>
        <w:rPr>
          <w:rFonts w:ascii="仿宋_GB2312" w:eastAsia="仿宋_GB2312"/>
          <w:sz w:val="32"/>
          <w:szCs w:val="32"/>
        </w:rPr>
        <w:t>1</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社会保障和就业支出（类）行政事业单位养老支出（款）机关事业单位基本养老保险缴费支出（项）：支出决算数为61.86万元，比上年决算增加46.77万元，增长309.94%，主要原因是：</w:t>
      </w:r>
      <w:r>
        <w:rPr>
          <w:rFonts w:hint="eastAsia" w:ascii="仿宋_GB2312" w:eastAsia="仿宋_GB2312"/>
          <w:sz w:val="32"/>
          <w:szCs w:val="32"/>
        </w:rPr>
        <w:t>新增人员</w:t>
      </w:r>
      <w:r>
        <w:rPr>
          <w:rFonts w:hint="eastAsia" w:ascii="仿宋_GB2312" w:eastAsia="仿宋_GB2312"/>
          <w:sz w:val="32"/>
          <w:szCs w:val="32"/>
          <w:lang w:val="en-US" w:eastAsia="zh-CN"/>
        </w:rPr>
        <w:t>25人，</w:t>
      </w:r>
      <w:r>
        <w:rPr>
          <w:rFonts w:hint="eastAsia" w:ascii="仿宋_GB2312" w:eastAsia="仿宋_GB2312"/>
          <w:sz w:val="32"/>
          <w:szCs w:val="32"/>
        </w:rPr>
        <w:t>相应的社保缴费增加，</w:t>
      </w:r>
      <w:r>
        <w:rPr>
          <w:rFonts w:ascii="仿宋_GB2312" w:eastAsia="仿宋_GB2312"/>
          <w:sz w:val="32"/>
          <w:szCs w:val="32"/>
        </w:rPr>
        <w:t>机关事业单位基本养老保险缴费支出</w:t>
      </w:r>
      <w:r>
        <w:rPr>
          <w:rFonts w:hint="eastAsia" w:ascii="仿宋_GB2312" w:eastAsia="仿宋_GB2312"/>
          <w:sz w:val="32"/>
          <w:szCs w:val="32"/>
        </w:rPr>
        <w:t>增加。</w:t>
      </w:r>
    </w:p>
    <w:p w14:paraId="0FD86501">
      <w:pPr>
        <w:widowControl/>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lang w:val="en-US" w:eastAsia="zh-CN"/>
        </w:rPr>
        <w:t>.</w:t>
      </w:r>
      <w:r>
        <w:rPr>
          <w:rFonts w:ascii="仿宋_GB2312" w:eastAsia="仿宋_GB2312"/>
          <w:sz w:val="32"/>
          <w:szCs w:val="32"/>
        </w:rPr>
        <w:t>社会保障和就业支出（类）行政事业单位养老支出（款）机关事业单位职业年金缴费支出（项）：支出决算数为31.85万元，比上年决算增加31.85万元，增长100.00%，主要原因是：</w:t>
      </w:r>
      <w:r>
        <w:rPr>
          <w:rFonts w:hint="eastAsia" w:ascii="仿宋_GB2312" w:eastAsia="仿宋_GB2312"/>
          <w:sz w:val="32"/>
          <w:szCs w:val="32"/>
          <w:lang w:eastAsia="zh-CN"/>
        </w:rPr>
        <w:t>按政策规定</w:t>
      </w:r>
      <w:r>
        <w:rPr>
          <w:rFonts w:hint="eastAsia" w:ascii="仿宋_GB2312" w:eastAsia="仿宋_GB2312"/>
          <w:sz w:val="32"/>
          <w:szCs w:val="32"/>
        </w:rPr>
        <w:t>，</w:t>
      </w:r>
      <w:r>
        <w:rPr>
          <w:rFonts w:ascii="仿宋_GB2312" w:eastAsia="仿宋_GB2312"/>
          <w:sz w:val="32"/>
          <w:szCs w:val="32"/>
        </w:rPr>
        <w:t>年末</w:t>
      </w:r>
      <w:r>
        <w:rPr>
          <w:rFonts w:hint="eastAsia" w:ascii="仿宋_GB2312" w:eastAsia="仿宋_GB2312"/>
          <w:sz w:val="32"/>
          <w:szCs w:val="32"/>
          <w:lang w:eastAsia="zh-CN"/>
        </w:rPr>
        <w:t>增加</w:t>
      </w:r>
      <w:r>
        <w:rPr>
          <w:rFonts w:ascii="仿宋_GB2312" w:eastAsia="仿宋_GB2312"/>
          <w:sz w:val="32"/>
          <w:szCs w:val="32"/>
        </w:rPr>
        <w:t>职业年金</w:t>
      </w:r>
      <w:r>
        <w:rPr>
          <w:rFonts w:hint="eastAsia" w:ascii="仿宋_GB2312" w:eastAsia="仿宋_GB2312"/>
          <w:sz w:val="32"/>
          <w:szCs w:val="32"/>
          <w:lang w:eastAsia="zh-CN"/>
        </w:rPr>
        <w:t>缴费单位部分</w:t>
      </w:r>
      <w:r>
        <w:rPr>
          <w:rFonts w:hint="eastAsia" w:ascii="仿宋_GB2312" w:eastAsia="仿宋_GB2312"/>
          <w:sz w:val="32"/>
          <w:szCs w:val="32"/>
        </w:rPr>
        <w:t>。</w:t>
      </w:r>
    </w:p>
    <w:p w14:paraId="2F4537DB">
      <w:pPr>
        <w:widowControl/>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lang w:val="en-US" w:eastAsia="zh-CN"/>
        </w:rPr>
        <w:t>.</w:t>
      </w:r>
      <w:r>
        <w:rPr>
          <w:rFonts w:ascii="仿宋_GB2312" w:eastAsia="仿宋_GB2312"/>
          <w:sz w:val="32"/>
          <w:szCs w:val="32"/>
        </w:rPr>
        <w:t>卫生健康支出（类）行政事业单位医疗（款）事业单位医疗（项）：支出决算数为35.22万元，比上年决算增加27.39万元，增长349.81%，主要原因是：</w:t>
      </w:r>
      <w:r>
        <w:rPr>
          <w:rFonts w:hint="eastAsia" w:ascii="仿宋_GB2312" w:eastAsia="仿宋_GB2312"/>
          <w:sz w:val="32"/>
          <w:szCs w:val="32"/>
        </w:rPr>
        <w:t>新增人员</w:t>
      </w:r>
      <w:r>
        <w:rPr>
          <w:rFonts w:hint="eastAsia" w:ascii="仿宋_GB2312" w:eastAsia="仿宋_GB2312"/>
          <w:sz w:val="32"/>
          <w:szCs w:val="32"/>
          <w:lang w:val="en-US" w:eastAsia="zh-CN"/>
        </w:rPr>
        <w:t>25人，</w:t>
      </w:r>
      <w:r>
        <w:rPr>
          <w:rFonts w:hint="eastAsia" w:ascii="仿宋_GB2312" w:eastAsia="仿宋_GB2312"/>
          <w:sz w:val="32"/>
          <w:szCs w:val="32"/>
        </w:rPr>
        <w:t>相应</w:t>
      </w:r>
      <w:r>
        <w:rPr>
          <w:rFonts w:ascii="仿宋_GB2312" w:eastAsia="仿宋_GB2312"/>
          <w:sz w:val="32"/>
          <w:szCs w:val="32"/>
        </w:rPr>
        <w:t>事业单位医疗支出</w:t>
      </w:r>
      <w:r>
        <w:rPr>
          <w:rFonts w:hint="eastAsia" w:ascii="仿宋_GB2312" w:eastAsia="仿宋_GB2312"/>
          <w:sz w:val="32"/>
          <w:szCs w:val="32"/>
        </w:rPr>
        <w:t>增加。</w:t>
      </w:r>
    </w:p>
    <w:p w14:paraId="74473823">
      <w:pPr>
        <w:widowControl/>
        <w:ind w:firstLine="640" w:firstLineChars="200"/>
        <w:rPr>
          <w:rFonts w:ascii="仿宋_GB2312" w:eastAsia="仿宋_GB2312"/>
          <w:sz w:val="32"/>
          <w:szCs w:val="32"/>
        </w:rPr>
      </w:pPr>
      <w:r>
        <w:rPr>
          <w:rFonts w:ascii="仿宋_GB2312" w:eastAsia="仿宋_GB2312"/>
          <w:sz w:val="32"/>
          <w:szCs w:val="32"/>
        </w:rPr>
        <w:t>4</w:t>
      </w:r>
      <w:r>
        <w:rPr>
          <w:rFonts w:hint="eastAsia" w:ascii="仿宋_GB2312" w:eastAsia="仿宋_GB2312"/>
          <w:sz w:val="32"/>
          <w:szCs w:val="32"/>
          <w:lang w:val="en-US" w:eastAsia="zh-CN"/>
        </w:rPr>
        <w:t>.</w:t>
      </w:r>
      <w:r>
        <w:rPr>
          <w:rFonts w:ascii="仿宋_GB2312" w:eastAsia="仿宋_GB2312"/>
          <w:sz w:val="32"/>
          <w:szCs w:val="32"/>
        </w:rPr>
        <w:t>卫生健康支出（类）行政事业单位医疗（款）公务员医疗补助（项）：支出决算数为27.07万元，比上年决算增加20.47万元，增长310.15%，主要原因是：</w:t>
      </w:r>
      <w:r>
        <w:rPr>
          <w:rFonts w:hint="eastAsia" w:ascii="仿宋_GB2312" w:eastAsia="仿宋_GB2312"/>
          <w:sz w:val="32"/>
          <w:szCs w:val="32"/>
        </w:rPr>
        <w:t>新增人员</w:t>
      </w:r>
      <w:r>
        <w:rPr>
          <w:rFonts w:hint="eastAsia" w:ascii="仿宋_GB2312" w:eastAsia="仿宋_GB2312"/>
          <w:sz w:val="32"/>
          <w:szCs w:val="32"/>
          <w:lang w:val="en-US" w:eastAsia="zh-CN"/>
        </w:rPr>
        <w:t>25人，</w:t>
      </w:r>
      <w:r>
        <w:rPr>
          <w:rFonts w:hint="eastAsia" w:ascii="仿宋_GB2312" w:eastAsia="仿宋_GB2312"/>
          <w:sz w:val="32"/>
          <w:szCs w:val="32"/>
        </w:rPr>
        <w:t>相应</w:t>
      </w:r>
      <w:r>
        <w:rPr>
          <w:rFonts w:ascii="仿宋_GB2312" w:eastAsia="仿宋_GB2312"/>
          <w:sz w:val="32"/>
          <w:szCs w:val="32"/>
        </w:rPr>
        <w:t>公务员医疗补助支出</w:t>
      </w:r>
      <w:r>
        <w:rPr>
          <w:rFonts w:hint="eastAsia" w:ascii="仿宋_GB2312" w:eastAsia="仿宋_GB2312"/>
          <w:sz w:val="32"/>
          <w:szCs w:val="32"/>
        </w:rPr>
        <w:t>增加。</w:t>
      </w:r>
    </w:p>
    <w:p w14:paraId="02330602">
      <w:pPr>
        <w:widowControl/>
        <w:ind w:firstLine="640" w:firstLineChars="200"/>
        <w:rPr>
          <w:rFonts w:ascii="仿宋_GB2312" w:eastAsia="仿宋_GB2312"/>
          <w:sz w:val="32"/>
          <w:szCs w:val="32"/>
        </w:rPr>
      </w:pPr>
      <w:r>
        <w:rPr>
          <w:rFonts w:ascii="仿宋_GB2312" w:eastAsia="仿宋_GB2312"/>
          <w:sz w:val="32"/>
          <w:szCs w:val="32"/>
        </w:rPr>
        <w:t>5</w:t>
      </w:r>
      <w:r>
        <w:rPr>
          <w:rFonts w:hint="eastAsia" w:ascii="仿宋_GB2312" w:eastAsia="仿宋_GB2312"/>
          <w:sz w:val="32"/>
          <w:szCs w:val="32"/>
          <w:lang w:val="en-US" w:eastAsia="zh-CN"/>
        </w:rPr>
        <w:t>.</w:t>
      </w:r>
      <w:r>
        <w:rPr>
          <w:rFonts w:ascii="仿宋_GB2312" w:eastAsia="仿宋_GB2312"/>
          <w:sz w:val="32"/>
          <w:szCs w:val="32"/>
        </w:rPr>
        <w:t>自然资源海洋气象等支出（类）自然资源事务（款）地质勘查与矿产资源管理（项）：支出决算数为900.00万元，比上年决算增加310.13万元，增长52.58%，主要原因是：</w:t>
      </w:r>
      <w:r>
        <w:rPr>
          <w:rFonts w:hint="eastAsia" w:ascii="仿宋_GB2312" w:eastAsia="仿宋_GB2312"/>
          <w:sz w:val="32"/>
          <w:szCs w:val="32"/>
        </w:rPr>
        <w:t>财政项目支出增加，新增项目有自治区绿色矿山评估与核查</w:t>
      </w:r>
      <w:r>
        <w:rPr>
          <w:rFonts w:hint="eastAsia" w:ascii="仿宋_GB2312" w:eastAsia="仿宋_GB2312"/>
          <w:sz w:val="32"/>
          <w:szCs w:val="32"/>
          <w:lang w:eastAsia="zh-CN"/>
        </w:rPr>
        <w:t>项目</w:t>
      </w:r>
      <w:r>
        <w:rPr>
          <w:rFonts w:hint="eastAsia" w:ascii="仿宋_GB2312" w:eastAsia="仿宋_GB2312"/>
          <w:sz w:val="32"/>
          <w:szCs w:val="32"/>
        </w:rPr>
        <w:t>、2025年自治区地质勘查项目野外监督实施经费和新疆维吾尔自治区矿产资源总体规划项目（2026-2030年）项目。</w:t>
      </w:r>
    </w:p>
    <w:p w14:paraId="438D91D8">
      <w:pPr>
        <w:widowControl/>
        <w:ind w:firstLine="640" w:firstLineChars="200"/>
        <w:rPr>
          <w:rFonts w:ascii="仿宋_GB2312" w:eastAsia="仿宋_GB2312"/>
          <w:sz w:val="32"/>
          <w:szCs w:val="32"/>
        </w:rPr>
      </w:pPr>
      <w:r>
        <w:rPr>
          <w:rFonts w:ascii="仿宋_GB2312" w:eastAsia="仿宋_GB2312"/>
          <w:sz w:val="32"/>
          <w:szCs w:val="32"/>
        </w:rPr>
        <w:t>6</w:t>
      </w:r>
      <w:r>
        <w:rPr>
          <w:rFonts w:hint="eastAsia" w:ascii="仿宋_GB2312" w:eastAsia="仿宋_GB2312"/>
          <w:sz w:val="32"/>
          <w:szCs w:val="32"/>
          <w:lang w:val="en-US" w:eastAsia="zh-CN"/>
        </w:rPr>
        <w:t>.</w:t>
      </w:r>
      <w:r>
        <w:rPr>
          <w:rFonts w:ascii="仿宋_GB2312" w:eastAsia="仿宋_GB2312"/>
          <w:sz w:val="32"/>
          <w:szCs w:val="32"/>
        </w:rPr>
        <w:t>自然资源海洋气象等支出（类）自然资源事务（款）事业运行（项）：支出决算数为456.65万元，比上年决算增加354.87万元，增长348.66%，主要原因是：</w:t>
      </w:r>
      <w:r>
        <w:rPr>
          <w:rFonts w:hint="eastAsia" w:ascii="仿宋_GB2312" w:eastAsia="仿宋_GB2312"/>
          <w:sz w:val="32"/>
          <w:szCs w:val="32"/>
        </w:rPr>
        <w:t>新增人员</w:t>
      </w:r>
      <w:r>
        <w:rPr>
          <w:rFonts w:hint="eastAsia" w:ascii="仿宋_GB2312" w:eastAsia="仿宋_GB2312"/>
          <w:sz w:val="32"/>
          <w:szCs w:val="32"/>
          <w:lang w:val="en-US" w:eastAsia="zh-CN"/>
        </w:rPr>
        <w:t>25人，</w:t>
      </w:r>
      <w:r>
        <w:rPr>
          <w:rFonts w:hint="eastAsia" w:ascii="仿宋_GB2312" w:eastAsia="仿宋_GB2312"/>
          <w:sz w:val="32"/>
          <w:szCs w:val="32"/>
        </w:rPr>
        <w:t>增加了在职人员工资及福利</w:t>
      </w:r>
      <w:r>
        <w:rPr>
          <w:rFonts w:hint="eastAsia" w:ascii="仿宋_GB2312" w:eastAsia="仿宋_GB2312"/>
          <w:sz w:val="32"/>
          <w:szCs w:val="32"/>
          <w:lang w:eastAsia="zh-CN"/>
        </w:rPr>
        <w:t>，</w:t>
      </w:r>
      <w:r>
        <w:rPr>
          <w:rFonts w:hint="eastAsia" w:ascii="仿宋_GB2312" w:eastAsia="仿宋_GB2312"/>
          <w:sz w:val="32"/>
          <w:szCs w:val="32"/>
        </w:rPr>
        <w:t>相应的</w:t>
      </w:r>
      <w:r>
        <w:rPr>
          <w:rFonts w:ascii="仿宋_GB2312" w:eastAsia="仿宋_GB2312"/>
          <w:sz w:val="32"/>
          <w:szCs w:val="32"/>
        </w:rPr>
        <w:t>事业运行支出</w:t>
      </w:r>
      <w:r>
        <w:rPr>
          <w:rFonts w:hint="eastAsia" w:ascii="仿宋_GB2312" w:eastAsia="仿宋_GB2312"/>
          <w:sz w:val="32"/>
          <w:szCs w:val="32"/>
        </w:rPr>
        <w:t>增加。</w:t>
      </w:r>
    </w:p>
    <w:p w14:paraId="4B8B10EA">
      <w:pPr>
        <w:widowControl/>
        <w:ind w:firstLine="640" w:firstLineChars="200"/>
        <w:rPr>
          <w:rFonts w:ascii="仿宋_GB2312" w:eastAsia="仿宋_GB2312"/>
          <w:sz w:val="32"/>
          <w:szCs w:val="32"/>
        </w:rPr>
      </w:pPr>
      <w:r>
        <w:rPr>
          <w:rFonts w:ascii="仿宋_GB2312" w:eastAsia="仿宋_GB2312"/>
          <w:sz w:val="32"/>
          <w:szCs w:val="32"/>
        </w:rPr>
        <w:t>7</w:t>
      </w:r>
      <w:r>
        <w:rPr>
          <w:rFonts w:hint="eastAsia" w:ascii="仿宋_GB2312" w:eastAsia="仿宋_GB2312"/>
          <w:sz w:val="32"/>
          <w:szCs w:val="32"/>
          <w:lang w:val="en-US" w:eastAsia="zh-CN"/>
        </w:rPr>
        <w:t>.</w:t>
      </w:r>
      <w:r>
        <w:rPr>
          <w:rFonts w:ascii="仿宋_GB2312" w:eastAsia="仿宋_GB2312"/>
          <w:sz w:val="32"/>
          <w:szCs w:val="32"/>
        </w:rPr>
        <w:t>住房保障支出（类）住房改革支出（款）住房公积金（项）：支出决算数为46.41万元，比上年决算增加35.10万元，增长310.34%，主要原因是：</w:t>
      </w:r>
      <w:r>
        <w:rPr>
          <w:rFonts w:hint="eastAsia" w:ascii="仿宋_GB2312" w:eastAsia="仿宋_GB2312"/>
          <w:sz w:val="32"/>
          <w:szCs w:val="32"/>
        </w:rPr>
        <w:t>新增人员</w:t>
      </w:r>
      <w:r>
        <w:rPr>
          <w:rFonts w:hint="eastAsia" w:ascii="仿宋_GB2312" w:eastAsia="仿宋_GB2312"/>
          <w:sz w:val="32"/>
          <w:szCs w:val="32"/>
          <w:lang w:val="en-US" w:eastAsia="zh-CN"/>
        </w:rPr>
        <w:t>25人，</w:t>
      </w:r>
      <w:r>
        <w:rPr>
          <w:rFonts w:hint="eastAsia" w:ascii="仿宋_GB2312" w:eastAsia="仿宋_GB2312"/>
          <w:sz w:val="32"/>
          <w:szCs w:val="32"/>
        </w:rPr>
        <w:t>相应的</w:t>
      </w:r>
      <w:r>
        <w:rPr>
          <w:rFonts w:ascii="仿宋_GB2312" w:eastAsia="仿宋_GB2312"/>
          <w:sz w:val="32"/>
          <w:szCs w:val="32"/>
        </w:rPr>
        <w:t>住房公积金支出</w:t>
      </w:r>
      <w:r>
        <w:rPr>
          <w:rFonts w:hint="eastAsia" w:ascii="仿宋_GB2312" w:eastAsia="仿宋_GB2312"/>
          <w:sz w:val="32"/>
          <w:szCs w:val="32"/>
        </w:rPr>
        <w:t>增加。</w:t>
      </w:r>
    </w:p>
    <w:p w14:paraId="4EDA45B8">
      <w:pPr>
        <w:widowControl/>
        <w:ind w:firstLine="640" w:firstLineChars="200"/>
        <w:jc w:val="left"/>
        <w:outlineLvl w:val="1"/>
        <w:rPr>
          <w:rFonts w:ascii="黑体" w:eastAsia="黑体"/>
          <w:sz w:val="32"/>
          <w:szCs w:val="32"/>
        </w:rPr>
      </w:pPr>
      <w:r>
        <w:rPr>
          <w:rFonts w:ascii="黑体" w:eastAsia="黑体"/>
          <w:sz w:val="32"/>
          <w:szCs w:val="32"/>
        </w:rPr>
        <w:t>六、一般公共预算财政拨款基本支出决算情况说明</w:t>
      </w:r>
    </w:p>
    <w:p w14:paraId="6F4080B6">
      <w:pPr>
        <w:widowControl/>
        <w:ind w:firstLine="640" w:firstLineChars="200"/>
        <w:rPr>
          <w:rFonts w:ascii="仿宋_GB2312" w:eastAsia="仿宋_GB2312"/>
          <w:sz w:val="32"/>
          <w:szCs w:val="32"/>
        </w:rPr>
      </w:pPr>
      <w:r>
        <w:rPr>
          <w:rFonts w:ascii="仿宋_GB2312" w:eastAsia="仿宋_GB2312"/>
          <w:sz w:val="32"/>
          <w:szCs w:val="32"/>
        </w:rPr>
        <w:t>2025年度一般公共预算财政拨款基本支出659.07万元，其中：人员经费641.37万元，包括：基本工资、津贴补贴、奖金、绩效工资、机关事业单位基本养老保险缴费、职业年金缴费、职工基本医疗保险缴费、公务员医疗补助缴费、其他社会保障缴费和住房公积金。</w:t>
      </w:r>
    </w:p>
    <w:p w14:paraId="06A78DE2">
      <w:pPr>
        <w:widowControl/>
        <w:ind w:firstLine="640" w:firstLineChars="200"/>
        <w:rPr>
          <w:rFonts w:ascii="仿宋_GB2312" w:eastAsia="仿宋_GB2312"/>
          <w:sz w:val="32"/>
          <w:szCs w:val="32"/>
        </w:rPr>
      </w:pPr>
      <w:r>
        <w:rPr>
          <w:rFonts w:ascii="仿宋_GB2312" w:eastAsia="仿宋_GB2312"/>
          <w:sz w:val="32"/>
          <w:szCs w:val="32"/>
        </w:rPr>
        <w:t>公用经费17.70万元，包括：办公费、水费、电费、邮电费、物业管理费、差旅费、工会经费、福利费和其他商品和服务支出。</w:t>
      </w:r>
    </w:p>
    <w:p w14:paraId="5DAC3AF6">
      <w:pPr>
        <w:widowControl/>
        <w:ind w:firstLine="640" w:firstLineChars="200"/>
        <w:jc w:val="left"/>
        <w:outlineLvl w:val="1"/>
        <w:rPr>
          <w:rFonts w:ascii="黑体" w:eastAsia="黑体"/>
          <w:sz w:val="32"/>
          <w:szCs w:val="32"/>
        </w:rPr>
      </w:pPr>
      <w:r>
        <w:rPr>
          <w:rFonts w:ascii="黑体" w:eastAsia="黑体"/>
          <w:sz w:val="32"/>
          <w:szCs w:val="32"/>
        </w:rPr>
        <w:t>七、政府性基金预算财政拨款收入支出决算情况说明</w:t>
      </w:r>
    </w:p>
    <w:p w14:paraId="1E54475C">
      <w:pPr>
        <w:widowControl/>
        <w:ind w:firstLine="640" w:firstLineChars="200"/>
        <w:rPr>
          <w:rFonts w:ascii="仿宋_GB2312" w:eastAsia="仿宋_GB2312"/>
          <w:sz w:val="32"/>
          <w:szCs w:val="32"/>
        </w:rPr>
      </w:pPr>
      <w:r>
        <w:rPr>
          <w:rFonts w:ascii="仿宋_GB2312" w:eastAsia="仿宋_GB2312"/>
          <w:sz w:val="32"/>
          <w:szCs w:val="32"/>
        </w:rPr>
        <w:t>本单位本年度无政府性基金预算财政拨款收入、支出及结转和结余，政府性基金预算财政拨款收入支出决算表为空表。</w:t>
      </w:r>
    </w:p>
    <w:p w14:paraId="0CEF5E25">
      <w:pPr>
        <w:widowControl/>
        <w:ind w:firstLine="640" w:firstLineChars="200"/>
        <w:jc w:val="left"/>
        <w:outlineLvl w:val="1"/>
        <w:rPr>
          <w:rFonts w:ascii="黑体" w:eastAsia="黑体"/>
          <w:sz w:val="32"/>
          <w:szCs w:val="32"/>
        </w:rPr>
      </w:pPr>
      <w:r>
        <w:rPr>
          <w:rFonts w:ascii="黑体" w:eastAsia="黑体"/>
          <w:sz w:val="32"/>
          <w:szCs w:val="32"/>
        </w:rPr>
        <w:t>八、国有资本经营预算财政拨款收入支出决算情况说明</w:t>
      </w:r>
    </w:p>
    <w:p w14:paraId="39B4379E">
      <w:pPr>
        <w:widowControl/>
        <w:ind w:firstLine="640" w:firstLineChars="200"/>
        <w:rPr>
          <w:rFonts w:ascii="仿宋_GB2312" w:eastAsia="仿宋_GB2312"/>
          <w:sz w:val="32"/>
          <w:szCs w:val="32"/>
        </w:rPr>
      </w:pPr>
      <w:r>
        <w:rPr>
          <w:rFonts w:ascii="仿宋_GB2312" w:eastAsia="仿宋_GB2312"/>
          <w:sz w:val="32"/>
          <w:szCs w:val="32"/>
        </w:rPr>
        <w:t>本单位本年度无国有资本经营预算财政拨款收入、支出及结转和结余，国有资本经营预算财政拨款收入支出决算表为空表。</w:t>
      </w:r>
    </w:p>
    <w:p w14:paraId="0955DC10">
      <w:pPr>
        <w:widowControl/>
        <w:ind w:firstLine="640" w:firstLineChars="200"/>
        <w:jc w:val="left"/>
        <w:outlineLvl w:val="1"/>
        <w:rPr>
          <w:rFonts w:ascii="黑体" w:eastAsia="黑体"/>
          <w:sz w:val="32"/>
          <w:szCs w:val="32"/>
        </w:rPr>
      </w:pPr>
      <w:r>
        <w:rPr>
          <w:rFonts w:ascii="黑体" w:eastAsia="黑体"/>
          <w:sz w:val="32"/>
          <w:szCs w:val="32"/>
        </w:rPr>
        <w:t>九、财政拨款“三公”经费支出决算情况说明</w:t>
      </w:r>
    </w:p>
    <w:p w14:paraId="0BEFB0B6">
      <w:pPr>
        <w:widowControl/>
        <w:ind w:firstLine="640" w:firstLineChars="200"/>
        <w:rPr>
          <w:rFonts w:ascii="仿宋_GB2312" w:eastAsia="仿宋_GB2312"/>
          <w:sz w:val="32"/>
          <w:szCs w:val="32"/>
        </w:rPr>
      </w:pPr>
      <w:r>
        <w:rPr>
          <w:rFonts w:ascii="仿宋_GB2312" w:eastAsia="仿宋_GB2312"/>
          <w:sz w:val="32"/>
          <w:szCs w:val="32"/>
        </w:rPr>
        <w:t>2025年度财政拨款“三公”经费支出0.00万元，比上年增加0.00万元，增长0.00%，主要原因是：</w:t>
      </w:r>
      <w:r>
        <w:rPr>
          <w:rFonts w:hint="eastAsia" w:ascii="仿宋_GB2312" w:eastAsia="仿宋_GB2312"/>
          <w:sz w:val="32"/>
          <w:szCs w:val="32"/>
          <w:lang w:val="en-US" w:eastAsia="zh-CN"/>
        </w:rPr>
        <w:t>2024年与2025年</w:t>
      </w:r>
      <w:r>
        <w:rPr>
          <w:rFonts w:hint="eastAsia" w:ascii="仿宋_GB2312" w:eastAsia="仿宋_GB2312"/>
          <w:sz w:val="32"/>
          <w:szCs w:val="32"/>
        </w:rPr>
        <w:t>我单位</w:t>
      </w:r>
      <w:r>
        <w:rPr>
          <w:rFonts w:hint="eastAsia" w:ascii="仿宋_GB2312" w:eastAsia="仿宋_GB2312"/>
          <w:sz w:val="32"/>
          <w:szCs w:val="32"/>
          <w:lang w:eastAsia="zh-CN"/>
        </w:rPr>
        <w:t>均</w:t>
      </w:r>
      <w:r>
        <w:rPr>
          <w:rFonts w:hint="eastAsia" w:ascii="仿宋_GB2312" w:eastAsia="仿宋_GB2312"/>
          <w:sz w:val="32"/>
          <w:szCs w:val="32"/>
        </w:rPr>
        <w:t>无财政拨款“三公”经费支出</w:t>
      </w:r>
      <w:r>
        <w:rPr>
          <w:rFonts w:ascii="仿宋_GB2312" w:eastAsia="仿宋_GB2312"/>
          <w:sz w:val="32"/>
          <w:szCs w:val="32"/>
        </w:rPr>
        <w:t>。其中：因公出国（境）费用支出0.00万元,占0.00%，比上年增加0.00万元，增长0.00%，主要原因是：</w:t>
      </w:r>
      <w:r>
        <w:rPr>
          <w:rFonts w:hint="eastAsia" w:ascii="仿宋_GB2312" w:eastAsia="仿宋_GB2312"/>
          <w:sz w:val="32"/>
          <w:szCs w:val="32"/>
          <w:lang w:val="en-US" w:eastAsia="zh-CN"/>
        </w:rPr>
        <w:t>2024年与2025年</w:t>
      </w:r>
      <w:r>
        <w:rPr>
          <w:rFonts w:hint="eastAsia" w:ascii="仿宋_GB2312" w:eastAsia="仿宋_GB2312"/>
          <w:sz w:val="32"/>
          <w:szCs w:val="32"/>
        </w:rPr>
        <w:t>我单位</w:t>
      </w:r>
      <w:r>
        <w:rPr>
          <w:rFonts w:hint="eastAsia" w:ascii="仿宋_GB2312" w:eastAsia="仿宋_GB2312"/>
          <w:sz w:val="32"/>
          <w:szCs w:val="32"/>
          <w:lang w:eastAsia="zh-CN"/>
        </w:rPr>
        <w:t>均</w:t>
      </w:r>
      <w:r>
        <w:rPr>
          <w:rFonts w:hint="eastAsia" w:ascii="仿宋_GB2312" w:eastAsia="仿宋_GB2312"/>
          <w:sz w:val="32"/>
          <w:szCs w:val="32"/>
        </w:rPr>
        <w:t>无因公出国（境）费支出</w:t>
      </w:r>
      <w:r>
        <w:rPr>
          <w:rFonts w:ascii="仿宋_GB2312" w:eastAsia="仿宋_GB2312"/>
          <w:sz w:val="32"/>
          <w:szCs w:val="32"/>
        </w:rPr>
        <w:t>；公务用车购置及运行维护费支出0.00万元，占0.00%，比上年增加0.00万元，增长0.00%，主要原因是：</w:t>
      </w:r>
      <w:r>
        <w:rPr>
          <w:rFonts w:hint="eastAsia" w:ascii="仿宋_GB2312" w:eastAsia="仿宋_GB2312"/>
          <w:sz w:val="32"/>
          <w:szCs w:val="32"/>
          <w:lang w:val="en-US" w:eastAsia="zh-CN"/>
        </w:rPr>
        <w:t>2024年与2025年</w:t>
      </w:r>
      <w:r>
        <w:rPr>
          <w:rFonts w:hint="eastAsia" w:ascii="仿宋_GB2312" w:eastAsia="仿宋_GB2312"/>
          <w:sz w:val="32"/>
          <w:szCs w:val="32"/>
        </w:rPr>
        <w:t>我单位</w:t>
      </w:r>
      <w:r>
        <w:rPr>
          <w:rFonts w:hint="eastAsia" w:ascii="仿宋_GB2312" w:eastAsia="仿宋_GB2312"/>
          <w:sz w:val="32"/>
          <w:szCs w:val="32"/>
          <w:lang w:eastAsia="zh-CN"/>
        </w:rPr>
        <w:t>均</w:t>
      </w:r>
      <w:r>
        <w:rPr>
          <w:rFonts w:hint="eastAsia" w:ascii="仿宋_GB2312" w:eastAsia="仿宋_GB2312"/>
          <w:sz w:val="32"/>
          <w:szCs w:val="32"/>
        </w:rPr>
        <w:t>无公务用车购置及运行维护费支出</w:t>
      </w:r>
      <w:r>
        <w:rPr>
          <w:rFonts w:ascii="仿宋_GB2312" w:eastAsia="仿宋_GB2312"/>
          <w:sz w:val="32"/>
          <w:szCs w:val="32"/>
        </w:rPr>
        <w:t>；公务接待费支出0.00万元，占0.00%，比上年增加0.00万元，增长0.00%，主要原因是：</w:t>
      </w:r>
      <w:r>
        <w:rPr>
          <w:rFonts w:hint="eastAsia" w:ascii="仿宋_GB2312" w:eastAsia="仿宋_GB2312"/>
          <w:sz w:val="32"/>
          <w:szCs w:val="32"/>
          <w:lang w:val="en-US" w:eastAsia="zh-CN"/>
        </w:rPr>
        <w:t>2024年与2025年</w:t>
      </w:r>
      <w:r>
        <w:rPr>
          <w:rFonts w:hint="eastAsia" w:ascii="仿宋_GB2312" w:eastAsia="仿宋_GB2312"/>
          <w:sz w:val="32"/>
          <w:szCs w:val="32"/>
        </w:rPr>
        <w:t>我单位</w:t>
      </w:r>
      <w:r>
        <w:rPr>
          <w:rFonts w:hint="eastAsia" w:ascii="仿宋_GB2312" w:eastAsia="仿宋_GB2312"/>
          <w:sz w:val="32"/>
          <w:szCs w:val="32"/>
          <w:lang w:eastAsia="zh-CN"/>
        </w:rPr>
        <w:t>均</w:t>
      </w:r>
      <w:r>
        <w:rPr>
          <w:rFonts w:hint="eastAsia" w:ascii="仿宋_GB2312" w:eastAsia="仿宋_GB2312"/>
          <w:sz w:val="32"/>
          <w:szCs w:val="32"/>
        </w:rPr>
        <w:t>无公务接待费支出</w:t>
      </w:r>
      <w:r>
        <w:rPr>
          <w:rFonts w:ascii="仿宋_GB2312" w:eastAsia="仿宋_GB2312"/>
          <w:sz w:val="32"/>
          <w:szCs w:val="32"/>
        </w:rPr>
        <w:t>。</w:t>
      </w:r>
    </w:p>
    <w:p w14:paraId="4031712F">
      <w:pPr>
        <w:widowControl/>
        <w:ind w:firstLine="640" w:firstLineChars="200"/>
        <w:jc w:val="left"/>
        <w:rPr>
          <w:rFonts w:ascii="仿宋_GB2312" w:eastAsia="仿宋_GB2312"/>
          <w:sz w:val="32"/>
          <w:szCs w:val="32"/>
        </w:rPr>
      </w:pPr>
      <w:r>
        <w:rPr>
          <w:rFonts w:ascii="仿宋_GB2312" w:eastAsia="仿宋_GB2312"/>
          <w:sz w:val="32"/>
          <w:szCs w:val="32"/>
        </w:rPr>
        <w:t>具体情况如下：</w:t>
      </w:r>
    </w:p>
    <w:p w14:paraId="6642F497">
      <w:pPr>
        <w:widowControl/>
        <w:ind w:firstLine="640" w:firstLineChars="200"/>
        <w:rPr>
          <w:rFonts w:ascii="仿宋_GB2312" w:eastAsia="仿宋_GB2312"/>
          <w:sz w:val="32"/>
          <w:szCs w:val="32"/>
        </w:rPr>
      </w:pPr>
      <w:r>
        <w:rPr>
          <w:rFonts w:ascii="仿宋_GB2312" w:eastAsia="仿宋_GB2312"/>
          <w:sz w:val="32"/>
          <w:szCs w:val="32"/>
        </w:rPr>
        <w:t>因公出国（境）费用支出0.00万元，开支内容包括</w:t>
      </w:r>
      <w:r>
        <w:rPr>
          <w:rFonts w:hint="eastAsia" w:ascii="仿宋_GB2312" w:eastAsia="仿宋_GB2312"/>
          <w:sz w:val="32"/>
          <w:szCs w:val="32"/>
        </w:rPr>
        <w:t>我单位无因公出国（境）费</w:t>
      </w:r>
      <w:r>
        <w:rPr>
          <w:rFonts w:ascii="仿宋_GB2312" w:eastAsia="仿宋_GB2312"/>
          <w:sz w:val="32"/>
          <w:szCs w:val="32"/>
        </w:rPr>
        <w:t>。单位全年安排的因公出国（境）团组0个，因公出国（境）0人次。</w:t>
      </w:r>
    </w:p>
    <w:p w14:paraId="5CBFF973">
      <w:pPr>
        <w:widowControl/>
        <w:ind w:firstLine="640" w:firstLineChars="200"/>
        <w:rPr>
          <w:rFonts w:ascii="仿宋_GB2312" w:eastAsia="仿宋_GB2312"/>
          <w:sz w:val="32"/>
          <w:szCs w:val="32"/>
        </w:rPr>
      </w:pPr>
      <w:r>
        <w:rPr>
          <w:rFonts w:ascii="仿宋_GB2312" w:eastAsia="仿宋_GB2312"/>
          <w:sz w:val="32"/>
          <w:szCs w:val="32"/>
        </w:rPr>
        <w:t>公务用车购置及运行维护费0.00万元，其中：公务用车购置费0.00万元，公务用车运行维护费0.00万元。公务用车运行维护费开支内容包括</w:t>
      </w:r>
      <w:r>
        <w:rPr>
          <w:rFonts w:hint="eastAsia" w:ascii="仿宋_GB2312" w:eastAsia="仿宋_GB2312"/>
          <w:sz w:val="32"/>
          <w:szCs w:val="32"/>
        </w:rPr>
        <w:t>我单位无公务用车运行维护费</w:t>
      </w:r>
      <w:r>
        <w:rPr>
          <w:rFonts w:ascii="仿宋_GB2312" w:eastAsia="仿宋_GB2312"/>
          <w:sz w:val="32"/>
          <w:szCs w:val="32"/>
        </w:rPr>
        <w:t>。公务用车购置数0辆，公务用车保有量0辆。国有资产占用情况中固定资产车辆0辆，与公务用车保有量差异原因是：</w:t>
      </w:r>
      <w:r>
        <w:rPr>
          <w:rFonts w:hint="eastAsia" w:ascii="仿宋_GB2312" w:eastAsia="仿宋_GB2312"/>
          <w:sz w:val="32"/>
          <w:szCs w:val="32"/>
        </w:rPr>
        <w:t>我单位无固定资产车辆</w:t>
      </w:r>
      <w:r>
        <w:rPr>
          <w:rFonts w:hint="eastAsia" w:ascii="仿宋_GB2312" w:eastAsia="仿宋_GB2312"/>
          <w:sz w:val="32"/>
          <w:szCs w:val="32"/>
          <w:lang w:val="en-US" w:eastAsia="zh-CN"/>
        </w:rPr>
        <w:t>和</w:t>
      </w:r>
      <w:r>
        <w:rPr>
          <w:rFonts w:ascii="仿宋_GB2312" w:eastAsia="仿宋_GB2312"/>
          <w:sz w:val="32"/>
          <w:szCs w:val="32"/>
        </w:rPr>
        <w:t>公务用车保有量。</w:t>
      </w:r>
    </w:p>
    <w:p w14:paraId="4D60293A">
      <w:pPr>
        <w:widowControl/>
        <w:ind w:firstLine="640" w:firstLineChars="200"/>
        <w:rPr>
          <w:rFonts w:ascii="仿宋_GB2312" w:eastAsia="仿宋_GB2312"/>
          <w:sz w:val="32"/>
          <w:szCs w:val="32"/>
        </w:rPr>
      </w:pPr>
      <w:r>
        <w:rPr>
          <w:rFonts w:ascii="仿宋_GB2312" w:eastAsia="仿宋_GB2312"/>
          <w:sz w:val="32"/>
          <w:szCs w:val="32"/>
        </w:rPr>
        <w:t>公务接待费0.00万元，开支内容包括</w:t>
      </w:r>
      <w:r>
        <w:rPr>
          <w:rFonts w:hint="eastAsia" w:ascii="仿宋_GB2312" w:eastAsia="仿宋_GB2312"/>
          <w:sz w:val="32"/>
          <w:szCs w:val="32"/>
          <w:lang w:eastAsia="zh-CN"/>
        </w:rPr>
        <w:t>我单位无</w:t>
      </w:r>
      <w:r>
        <w:rPr>
          <w:rFonts w:ascii="仿宋_GB2312" w:eastAsia="仿宋_GB2312"/>
          <w:sz w:val="32"/>
          <w:szCs w:val="32"/>
        </w:rPr>
        <w:t>公务接待费。单位全年安排的国内公务接待0批次，0人次。</w:t>
      </w:r>
    </w:p>
    <w:p w14:paraId="4F657653">
      <w:pPr>
        <w:widowControl/>
        <w:ind w:firstLine="640" w:firstLineChars="200"/>
        <w:rPr>
          <w:rFonts w:ascii="仿宋_GB2312" w:eastAsia="仿宋_GB2312"/>
          <w:sz w:val="32"/>
          <w:szCs w:val="32"/>
        </w:rPr>
      </w:pPr>
      <w:r>
        <w:rPr>
          <w:rFonts w:ascii="仿宋_GB2312" w:eastAsia="仿宋_GB2312"/>
          <w:sz w:val="32"/>
          <w:szCs w:val="32"/>
        </w:rPr>
        <w:t>与全年预算相比，财政拨款“三公”经费支出全年预算数0.00万元，决算数0.00万元，预决算差异率0.00%，主要原因是：</w:t>
      </w:r>
      <w:r>
        <w:rPr>
          <w:rFonts w:hint="eastAsia" w:ascii="仿宋_GB2312" w:eastAsia="仿宋_GB2312"/>
          <w:sz w:val="32"/>
          <w:szCs w:val="32"/>
        </w:rPr>
        <w:t>我单位无财政拨款“三公”经费支出</w:t>
      </w:r>
      <w:r>
        <w:rPr>
          <w:rFonts w:ascii="仿宋_GB2312" w:eastAsia="仿宋_GB2312"/>
          <w:sz w:val="32"/>
          <w:szCs w:val="32"/>
        </w:rPr>
        <w:t>。其中：因公出国（境）费用全年预算数0.00万元，决算数0.00万元，预决算差异率0.00%，主要原因是：</w:t>
      </w:r>
      <w:r>
        <w:rPr>
          <w:rFonts w:hint="eastAsia" w:ascii="仿宋_GB2312" w:eastAsia="仿宋_GB2312"/>
          <w:sz w:val="32"/>
          <w:szCs w:val="32"/>
        </w:rPr>
        <w:t>我单位无因公出国（境）费</w:t>
      </w:r>
      <w:r>
        <w:rPr>
          <w:rFonts w:ascii="仿宋_GB2312" w:eastAsia="仿宋_GB2312"/>
          <w:sz w:val="32"/>
          <w:szCs w:val="32"/>
        </w:rPr>
        <w:t>；公务用车购置费全年预算数0.00万元，决算数0.00万元，预决算差异率0.00%，主要原因是：</w:t>
      </w:r>
      <w:r>
        <w:rPr>
          <w:rFonts w:hint="eastAsia" w:ascii="仿宋_GB2312" w:eastAsia="仿宋_GB2312"/>
          <w:sz w:val="32"/>
          <w:szCs w:val="32"/>
        </w:rPr>
        <w:t>我单位无公务用车购置费</w:t>
      </w:r>
      <w:r>
        <w:rPr>
          <w:rFonts w:ascii="仿宋_GB2312" w:eastAsia="仿宋_GB2312"/>
          <w:sz w:val="32"/>
          <w:szCs w:val="32"/>
        </w:rPr>
        <w:t>；公务用车运行维护费全年预算数0.00万元，决算数0.00万元，预决算差异率0.00%，主要原因是：</w:t>
      </w:r>
      <w:r>
        <w:rPr>
          <w:rFonts w:hint="eastAsia" w:ascii="仿宋_GB2312" w:eastAsia="仿宋_GB2312"/>
          <w:sz w:val="32"/>
          <w:szCs w:val="32"/>
        </w:rPr>
        <w:t>我单位无公务用车运行维护费</w:t>
      </w:r>
      <w:r>
        <w:rPr>
          <w:rFonts w:ascii="仿宋_GB2312" w:eastAsia="仿宋_GB2312"/>
          <w:sz w:val="32"/>
          <w:szCs w:val="32"/>
        </w:rPr>
        <w:t>；公务接待费全年预算数0.00万元，决算数0.00万元，预决算差异率0.00%，主要原因是：</w:t>
      </w:r>
      <w:r>
        <w:rPr>
          <w:rFonts w:hint="eastAsia" w:ascii="仿宋_GB2312" w:eastAsia="仿宋_GB2312"/>
          <w:sz w:val="32"/>
          <w:szCs w:val="32"/>
        </w:rPr>
        <w:t>我单位无公务接待费支出。</w:t>
      </w:r>
    </w:p>
    <w:p w14:paraId="1977AF06">
      <w:pPr>
        <w:widowControl/>
        <w:ind w:firstLine="640" w:firstLineChars="200"/>
        <w:jc w:val="left"/>
        <w:outlineLvl w:val="1"/>
        <w:rPr>
          <w:rFonts w:ascii="黑体" w:eastAsia="黑体"/>
          <w:sz w:val="32"/>
          <w:szCs w:val="32"/>
        </w:rPr>
      </w:pPr>
      <w:r>
        <w:rPr>
          <w:rFonts w:ascii="黑体" w:eastAsia="黑体"/>
          <w:sz w:val="32"/>
          <w:szCs w:val="32"/>
        </w:rPr>
        <w:t>十、其他重要事项的情况说明</w:t>
      </w:r>
    </w:p>
    <w:p w14:paraId="45B6E976">
      <w:pPr>
        <w:widowControl/>
        <w:ind w:firstLine="640" w:firstLineChars="200"/>
        <w:jc w:val="left"/>
        <w:outlineLvl w:val="2"/>
        <w:rPr>
          <w:rFonts w:ascii="黑体" w:eastAsia="黑体"/>
          <w:sz w:val="32"/>
          <w:szCs w:val="32"/>
        </w:rPr>
      </w:pPr>
      <w:r>
        <w:rPr>
          <w:rFonts w:ascii="黑体" w:eastAsia="黑体"/>
          <w:sz w:val="32"/>
          <w:szCs w:val="32"/>
        </w:rPr>
        <w:t>（一）机关运行经费及公用经费支出情况</w:t>
      </w:r>
    </w:p>
    <w:p w14:paraId="5AE019FD">
      <w:pPr>
        <w:widowControl/>
        <w:ind w:firstLine="640" w:firstLineChars="200"/>
        <w:rPr>
          <w:rFonts w:ascii="仿宋_GB2312" w:eastAsia="仿宋_GB2312"/>
          <w:sz w:val="32"/>
          <w:szCs w:val="32"/>
        </w:rPr>
      </w:pPr>
      <w:r>
        <w:rPr>
          <w:rFonts w:ascii="仿宋_GB2312" w:eastAsia="仿宋_GB2312"/>
          <w:sz w:val="32"/>
          <w:szCs w:val="32"/>
        </w:rPr>
        <w:t>2025年度新疆维吾尔自治区地质勘查质量评价中心（事业单位）公用经费支出17.70万元，比上年增加17.70万元，增长100</w:t>
      </w:r>
      <w:r>
        <w:rPr>
          <w:rFonts w:hint="eastAsia" w:ascii="仿宋_GB2312" w:eastAsia="仿宋_GB2312"/>
          <w:sz w:val="32"/>
          <w:szCs w:val="32"/>
          <w:lang w:val="en-US" w:eastAsia="zh-CN"/>
        </w:rPr>
        <w:t>.00</w:t>
      </w:r>
      <w:r>
        <w:rPr>
          <w:rFonts w:ascii="仿宋_GB2312" w:eastAsia="仿宋_GB2312"/>
          <w:sz w:val="32"/>
          <w:szCs w:val="32"/>
        </w:rPr>
        <w:t>%，主要原因是：</w:t>
      </w:r>
      <w:r>
        <w:rPr>
          <w:rFonts w:hint="eastAsia" w:ascii="仿宋_GB2312" w:eastAsia="仿宋_GB2312"/>
          <w:sz w:val="32"/>
          <w:szCs w:val="32"/>
          <w:lang w:eastAsia="zh-CN"/>
        </w:rPr>
        <w:t>上年未安排公用经费，本年</w:t>
      </w:r>
      <w:r>
        <w:rPr>
          <w:rFonts w:hint="eastAsia" w:ascii="仿宋_GB2312" w:eastAsia="仿宋_GB2312"/>
          <w:sz w:val="32"/>
          <w:szCs w:val="32"/>
          <w:highlight w:val="none"/>
        </w:rPr>
        <w:t>新增人员</w:t>
      </w:r>
      <w:r>
        <w:rPr>
          <w:rFonts w:hint="eastAsia" w:ascii="仿宋_GB2312" w:eastAsia="仿宋_GB2312"/>
          <w:sz w:val="32"/>
          <w:szCs w:val="32"/>
          <w:highlight w:val="none"/>
          <w:lang w:val="en-US" w:eastAsia="zh-CN"/>
        </w:rPr>
        <w:t>25人，</w:t>
      </w:r>
      <w:r>
        <w:rPr>
          <w:rFonts w:hint="eastAsia" w:ascii="仿宋_GB2312" w:eastAsia="仿宋_GB2312"/>
          <w:sz w:val="32"/>
          <w:szCs w:val="32"/>
          <w:highlight w:val="none"/>
        </w:rPr>
        <w:t>增加</w:t>
      </w:r>
      <w:r>
        <w:rPr>
          <w:rFonts w:ascii="仿宋_GB2312" w:eastAsia="仿宋_GB2312"/>
          <w:sz w:val="32"/>
          <w:szCs w:val="32"/>
          <w:highlight w:val="none"/>
        </w:rPr>
        <w:t>公用经费支出</w:t>
      </w:r>
      <w:r>
        <w:rPr>
          <w:rFonts w:ascii="仿宋_GB2312" w:eastAsia="仿宋_GB2312"/>
          <w:sz w:val="32"/>
          <w:szCs w:val="32"/>
        </w:rPr>
        <w:t>。</w:t>
      </w:r>
    </w:p>
    <w:p w14:paraId="127F6052">
      <w:pPr>
        <w:widowControl/>
        <w:ind w:firstLine="640" w:firstLineChars="200"/>
        <w:jc w:val="left"/>
        <w:outlineLvl w:val="2"/>
        <w:rPr>
          <w:rFonts w:ascii="黑体" w:eastAsia="黑体"/>
          <w:sz w:val="32"/>
          <w:szCs w:val="32"/>
        </w:rPr>
      </w:pPr>
      <w:r>
        <w:rPr>
          <w:rFonts w:ascii="黑体" w:eastAsia="黑体"/>
          <w:sz w:val="32"/>
          <w:szCs w:val="32"/>
        </w:rPr>
        <w:t>（二）政府采购情况</w:t>
      </w:r>
    </w:p>
    <w:p w14:paraId="14998C5A">
      <w:pPr>
        <w:widowControl/>
        <w:ind w:firstLine="640" w:firstLineChars="200"/>
        <w:rPr>
          <w:rFonts w:ascii="仿宋_GB2312" w:eastAsia="仿宋_GB2312"/>
          <w:sz w:val="32"/>
          <w:szCs w:val="32"/>
        </w:rPr>
      </w:pPr>
      <w:r>
        <w:rPr>
          <w:rFonts w:ascii="仿宋_GB2312" w:eastAsia="仿宋_GB2312"/>
          <w:sz w:val="32"/>
          <w:szCs w:val="32"/>
        </w:rPr>
        <w:t>2025年度政府采购支出总额586.95万元，其中：政府采购货物支出59.90万元、政府采购工程支出0.00万元、政府采购服务支出527.05万元。</w:t>
      </w:r>
    </w:p>
    <w:p w14:paraId="26F1258D">
      <w:pPr>
        <w:widowControl/>
        <w:ind w:firstLine="640" w:firstLineChars="200"/>
        <w:rPr>
          <w:rFonts w:ascii="仿宋_GB2312" w:eastAsia="仿宋_GB2312"/>
          <w:sz w:val="32"/>
          <w:szCs w:val="32"/>
        </w:rPr>
      </w:pPr>
      <w:r>
        <w:rPr>
          <w:rFonts w:ascii="仿宋_GB2312" w:eastAsia="仿宋_GB2312"/>
          <w:sz w:val="32"/>
          <w:szCs w:val="32"/>
        </w:rPr>
        <w:t>授予中小企业合同金额139.79万元，占政府采购支出总额的23.82%，其中：授予小微企业合同金额128.96万元，占政府采购支出总额的21.97%。</w:t>
      </w:r>
    </w:p>
    <w:p w14:paraId="0AA5C7BC">
      <w:pPr>
        <w:widowControl/>
        <w:ind w:firstLine="640" w:firstLineChars="200"/>
        <w:jc w:val="left"/>
        <w:outlineLvl w:val="2"/>
        <w:rPr>
          <w:rFonts w:ascii="黑体" w:eastAsia="黑体"/>
          <w:sz w:val="32"/>
          <w:szCs w:val="32"/>
        </w:rPr>
      </w:pPr>
      <w:r>
        <w:rPr>
          <w:rFonts w:ascii="黑体" w:eastAsia="黑体"/>
          <w:sz w:val="32"/>
          <w:szCs w:val="32"/>
        </w:rPr>
        <w:t>（三）国有资产占用情况说明</w:t>
      </w:r>
    </w:p>
    <w:p w14:paraId="60AEF1A3">
      <w:pPr>
        <w:widowControl/>
        <w:ind w:firstLine="640" w:firstLineChars="200"/>
        <w:rPr>
          <w:rFonts w:ascii="仿宋_GB2312" w:eastAsia="仿宋_GB2312"/>
          <w:sz w:val="32"/>
          <w:szCs w:val="32"/>
          <w:highlight w:val="yellow"/>
        </w:rPr>
      </w:pPr>
      <w:r>
        <w:rPr>
          <w:rFonts w:ascii="仿宋_GB2312" w:eastAsia="仿宋_GB2312"/>
          <w:sz w:val="32"/>
          <w:szCs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方正仿宋_GB2312" w:hAnsi="方正仿宋_GB2312" w:eastAsia="方正仿宋_GB2312" w:cs="方正仿宋_GB2312"/>
          <w:sz w:val="32"/>
          <w:szCs w:val="32"/>
        </w:rPr>
        <w:t>我单位无其他用车</w:t>
      </w:r>
      <w:r>
        <w:rPr>
          <w:rFonts w:ascii="仿宋_GB2312" w:eastAsia="仿宋_GB2312"/>
          <w:sz w:val="32"/>
          <w:szCs w:val="32"/>
        </w:rPr>
        <w:t>;单价100万元（含）以上设备（不含车辆）0台（套）。</w:t>
      </w:r>
      <w:bookmarkStart w:id="0" w:name="_GoBack"/>
      <w:bookmarkEnd w:id="0"/>
    </w:p>
    <w:p w14:paraId="09DDFE78">
      <w:pPr>
        <w:widowControl/>
        <w:ind w:firstLine="640" w:firstLineChars="200"/>
        <w:jc w:val="left"/>
        <w:outlineLvl w:val="1"/>
        <w:rPr>
          <w:rFonts w:ascii="黑体" w:eastAsia="黑体"/>
          <w:sz w:val="32"/>
          <w:szCs w:val="32"/>
        </w:rPr>
      </w:pPr>
      <w:r>
        <w:rPr>
          <w:rFonts w:ascii="黑体" w:eastAsia="黑体"/>
          <w:sz w:val="32"/>
          <w:szCs w:val="32"/>
        </w:rPr>
        <w:t>十一、预算绩效的情况说明</w:t>
      </w:r>
    </w:p>
    <w:p w14:paraId="0D76C617">
      <w:pPr>
        <w:widowControl/>
        <w:ind w:firstLine="640" w:firstLineChars="200"/>
        <w:rPr>
          <w:rFonts w:ascii="仿宋_GB2312" w:eastAsia="仿宋_GB2312"/>
          <w:sz w:val="32"/>
          <w:szCs w:val="32"/>
        </w:rPr>
      </w:pPr>
      <w:r>
        <w:rPr>
          <w:rFonts w:ascii="仿宋_GB2312" w:eastAsia="仿宋_GB2312"/>
          <w:sz w:val="32"/>
          <w:szCs w:val="32"/>
        </w:rPr>
        <w:t>根据预算绩效管理要求，本单位2025年度预算绩效评价项目</w:t>
      </w:r>
      <w:r>
        <w:rPr>
          <w:rFonts w:hint="eastAsia" w:ascii="仿宋_GB2312" w:eastAsia="仿宋_GB2312"/>
          <w:sz w:val="32"/>
          <w:szCs w:val="32"/>
        </w:rPr>
        <w:t>3</w:t>
      </w:r>
      <w:r>
        <w:rPr>
          <w:rFonts w:ascii="仿宋_GB2312" w:eastAsia="仿宋_GB2312"/>
          <w:sz w:val="32"/>
          <w:szCs w:val="32"/>
        </w:rPr>
        <w:t>个，全年预算数</w:t>
      </w:r>
      <w:r>
        <w:rPr>
          <w:rFonts w:hint="eastAsia" w:ascii="仿宋_GB2312" w:eastAsia="仿宋_GB2312"/>
          <w:sz w:val="32"/>
          <w:szCs w:val="32"/>
        </w:rPr>
        <w:t>9</w:t>
      </w:r>
      <w:r>
        <w:rPr>
          <w:rFonts w:ascii="仿宋_GB2312" w:eastAsia="仿宋_GB2312"/>
          <w:sz w:val="32"/>
          <w:szCs w:val="32"/>
        </w:rPr>
        <w:t>00.00万元，全年执行数</w:t>
      </w:r>
      <w:r>
        <w:rPr>
          <w:rFonts w:hint="eastAsia" w:ascii="仿宋_GB2312" w:eastAsia="仿宋_GB2312"/>
          <w:sz w:val="32"/>
          <w:szCs w:val="32"/>
        </w:rPr>
        <w:t>9</w:t>
      </w:r>
      <w:r>
        <w:rPr>
          <w:rFonts w:ascii="仿宋_GB2312" w:eastAsia="仿宋_GB2312"/>
          <w:sz w:val="32"/>
          <w:szCs w:val="32"/>
        </w:rPr>
        <w:t>00.00万元。预算绩效管理取得的成效：</w:t>
      </w:r>
      <w:r>
        <w:rPr>
          <w:rFonts w:hint="eastAsia" w:ascii="仿宋_GB2312" w:eastAsia="仿宋_GB2312"/>
          <w:sz w:val="32"/>
          <w:szCs w:val="32"/>
        </w:rPr>
        <w:t>一是完成地质勘查项目野外工作质量和绿色勘查现场技术指导工作，全面推行绿色勘查，减少勘查对环境的影响；二是协调解决了野外地质勘查遇到的地质问题，建立协同联动机制，建成专业突出、覆盖全面、高效运转的地质找矿野外监督质量体系。积极主动对接各地（州、市）、县（市、区）自然资源局，开展项目业务管理和技术培训，帮助协调项目承担单位顺利开展野外作业；三是完成全区地质勘查专项统计和分析，建立工作台账，定期、不定期沟通项目承担单位，及时掌握项目进展、工程实施和重大发现；四是完成矿产资源调查监测，依托专家团队，通过现场指导，帮助项目组拓宽找矿思路，拓宽业务交流，先后与自治区地质研究院、中国地质调查局乌鲁木齐调查中心、核工业216大队、自治区305项目办公室等单位开展业务交流研讨，分享认识和经验，提升业务研究水平有效解决技术难题等工作；五是按照国家“十五五”规划编制工作的总体部署要求，在对矿产资源总体规划（2026-2030年）评估和重大关键问题等方面进行深化研究的基础上，结合相关产业和政策，编制新疆维吾尔自治区矿产资源规划（2026-2030年），按时提交矿产资源规划规划文本并通过自治区矿产资源总体规划文本专家论证。发现的问题及原因：一是项目预算、绩效目标及编制水平有待进一步提高；二是对项目绩效目标内容制度还需完善，对项目具体实施指导性有待加强。下一步改进措施：一是在工作中进一步加强对绩效目标监控的重视，定期对预算执行情况进行监督，做到及时监控，及时控制，避免疏忽；二是加强各部门衔接，使预算绩效目标实施进度得到及时反馈。三是设置合理有效的绩效目标监控机制，科学设置预算绩效指标，合理安排经费和各项资金，更加贴合项目实施的实际情况。</w:t>
      </w:r>
      <w:r>
        <w:rPr>
          <w:rFonts w:ascii="仿宋_GB2312" w:eastAsia="仿宋_GB2312"/>
          <w:sz w:val="32"/>
          <w:szCs w:val="32"/>
        </w:rPr>
        <w:t>具体附项目支出绩效自评表</w:t>
      </w:r>
      <w:r>
        <w:rPr>
          <w:rFonts w:hint="eastAsia" w:ascii="仿宋_GB2312" w:hAnsi="仿宋_GB2312" w:eastAsia="仿宋_GB2312" w:cs="仿宋_GB2312"/>
          <w:b w:val="0"/>
          <w:bCs w:val="0"/>
          <w:color w:val="000000"/>
          <w:kern w:val="0"/>
          <w:sz w:val="32"/>
          <w:szCs w:val="32"/>
          <w:highlight w:val="none"/>
          <w:lang w:val="en-US" w:eastAsia="zh-CN" w:bidi="ar"/>
        </w:rPr>
        <w:t>及项目支出绩效评价报告</w:t>
      </w:r>
      <w:r>
        <w:rPr>
          <w:rFonts w:ascii="仿宋_GB2312" w:eastAsia="仿宋_GB2312"/>
          <w:sz w:val="32"/>
          <w:szCs w:val="32"/>
        </w:rPr>
        <w:t>。</w:t>
      </w:r>
    </w:p>
    <w:p w14:paraId="7F42A1C3">
      <w:pPr>
        <w:widowControl/>
        <w:ind w:firstLine="640" w:firstLineChars="200"/>
        <w:jc w:val="left"/>
        <w:outlineLvl w:val="1"/>
        <w:rPr>
          <w:rFonts w:ascii="黑体" w:eastAsia="黑体"/>
          <w:sz w:val="32"/>
          <w:szCs w:val="32"/>
        </w:rPr>
      </w:pPr>
      <w:r>
        <w:rPr>
          <w:rFonts w:ascii="黑体" w:eastAsia="黑体"/>
          <w:sz w:val="32"/>
          <w:szCs w:val="32"/>
        </w:rPr>
        <w:t>十二、其他需说明的事项</w:t>
      </w:r>
    </w:p>
    <w:p w14:paraId="1BD9A8F9">
      <w:pPr>
        <w:widowControl/>
        <w:ind w:firstLine="640" w:firstLineChars="200"/>
        <w:rPr>
          <w:rFonts w:ascii="仿宋_GB2312" w:eastAsia="仿宋_GB2312"/>
          <w:sz w:val="32"/>
          <w:szCs w:val="32"/>
        </w:rPr>
      </w:pPr>
      <w:r>
        <w:rPr>
          <w:rFonts w:ascii="仿宋_GB2312" w:eastAsia="仿宋_GB2312"/>
          <w:sz w:val="32"/>
          <w:szCs w:val="32"/>
        </w:rPr>
        <w:t>本单位无其他需说明事项。</w:t>
      </w:r>
    </w:p>
    <w:p w14:paraId="69B5CC27">
      <w:pPr>
        <w:widowControl/>
        <w:ind w:firstLine="640" w:firstLineChars="200"/>
        <w:jc w:val="left"/>
        <w:rPr>
          <w:rFonts w:ascii="仿宋_GB2312" w:eastAsia="仿宋_GB2312"/>
          <w:sz w:val="32"/>
          <w:szCs w:val="32"/>
        </w:rPr>
      </w:pPr>
    </w:p>
    <w:p w14:paraId="1F816EFD">
      <w:pPr>
        <w:widowControl/>
      </w:pPr>
      <w:r>
        <w:rPr>
          <w:sz w:val="0"/>
          <w:szCs w:val="0"/>
        </w:rPr>
        <w:br w:type="page"/>
      </w:r>
    </w:p>
    <w:p w14:paraId="49E8284F">
      <w:pPr>
        <w:widowControl/>
        <w:jc w:val="center"/>
        <w:outlineLvl w:val="0"/>
        <w:rPr>
          <w:rFonts w:ascii="黑体" w:eastAsia="黑体"/>
          <w:sz w:val="32"/>
          <w:szCs w:val="32"/>
        </w:rPr>
      </w:pPr>
      <w:r>
        <w:rPr>
          <w:rFonts w:ascii="黑体" w:eastAsia="黑体"/>
          <w:sz w:val="32"/>
          <w:szCs w:val="32"/>
        </w:rPr>
        <w:t>第三部分 专业名词解释</w:t>
      </w:r>
    </w:p>
    <w:p w14:paraId="7C0E364C">
      <w:pPr>
        <w:widowControl/>
        <w:ind w:firstLine="643" w:firstLineChars="200"/>
        <w:jc w:val="left"/>
        <w:rPr>
          <w:rFonts w:ascii="仿宋_GB2312" w:eastAsia="仿宋_GB2312"/>
          <w:sz w:val="32"/>
          <w:szCs w:val="32"/>
        </w:rPr>
      </w:pPr>
      <w:r>
        <w:rPr>
          <w:rFonts w:ascii="仿宋_GB2312" w:eastAsia="仿宋_GB2312"/>
          <w:b/>
          <w:sz w:val="32"/>
          <w:szCs w:val="32"/>
        </w:rPr>
        <w:t>一、财政拨款收入：</w:t>
      </w:r>
      <w:r>
        <w:rPr>
          <w:rFonts w:ascii="仿宋_GB2312" w:eastAsia="仿宋_GB2312"/>
          <w:sz w:val="32"/>
          <w:szCs w:val="32"/>
        </w:rPr>
        <w:t>指单位本年度从同级财政部门取得的财政拨款，包括一般公共预算财政拨款、政府性基金预算财政拨款和国有资本经营预算财政拨款。</w:t>
      </w:r>
    </w:p>
    <w:p w14:paraId="27590D13">
      <w:pPr>
        <w:widowControl/>
        <w:ind w:firstLine="643" w:firstLineChars="200"/>
        <w:jc w:val="left"/>
        <w:rPr>
          <w:rFonts w:ascii="仿宋_GB2312" w:eastAsia="仿宋_GB2312"/>
          <w:sz w:val="32"/>
          <w:szCs w:val="32"/>
        </w:rPr>
      </w:pPr>
      <w:r>
        <w:rPr>
          <w:rFonts w:ascii="仿宋_GB2312" w:eastAsia="仿宋_GB2312"/>
          <w:b/>
          <w:sz w:val="32"/>
          <w:szCs w:val="32"/>
        </w:rPr>
        <w:t>二、上级补助收入：</w:t>
      </w:r>
      <w:r>
        <w:rPr>
          <w:rFonts w:ascii="仿宋_GB2312" w:eastAsia="仿宋_GB2312"/>
          <w:sz w:val="32"/>
          <w:szCs w:val="32"/>
        </w:rPr>
        <w:t>指事业单位从主管部门和上级单位取得的非财政补助收入。</w:t>
      </w:r>
    </w:p>
    <w:p w14:paraId="0BD193EB">
      <w:pPr>
        <w:widowControl/>
        <w:ind w:firstLine="643" w:firstLineChars="200"/>
        <w:jc w:val="left"/>
        <w:rPr>
          <w:rFonts w:ascii="仿宋_GB2312" w:eastAsia="仿宋_GB2312"/>
          <w:sz w:val="32"/>
          <w:szCs w:val="32"/>
        </w:rPr>
      </w:pPr>
      <w:r>
        <w:rPr>
          <w:rFonts w:ascii="仿宋_GB2312" w:eastAsia="仿宋_GB2312"/>
          <w:b/>
          <w:sz w:val="32"/>
          <w:szCs w:val="32"/>
        </w:rPr>
        <w:t>三、事业收入：</w:t>
      </w:r>
      <w:r>
        <w:rPr>
          <w:rFonts w:ascii="仿宋_GB2312" w:eastAsia="仿宋_GB2312"/>
          <w:sz w:val="32"/>
          <w:szCs w:val="32"/>
        </w:rPr>
        <w:t>指事业单位开展专业业务活动及其辅助活动取得的收入。</w:t>
      </w:r>
    </w:p>
    <w:p w14:paraId="0E8600EB">
      <w:pPr>
        <w:widowControl/>
        <w:ind w:firstLine="643" w:firstLineChars="200"/>
        <w:jc w:val="left"/>
        <w:rPr>
          <w:rFonts w:ascii="仿宋_GB2312" w:eastAsia="仿宋_GB2312"/>
          <w:sz w:val="32"/>
          <w:szCs w:val="32"/>
        </w:rPr>
      </w:pPr>
      <w:r>
        <w:rPr>
          <w:rFonts w:ascii="仿宋_GB2312" w:eastAsia="仿宋_GB2312"/>
          <w:b/>
          <w:sz w:val="32"/>
          <w:szCs w:val="32"/>
        </w:rPr>
        <w:t>四、经营收入：</w:t>
      </w:r>
      <w:r>
        <w:rPr>
          <w:rFonts w:ascii="仿宋_GB2312" w:eastAsia="仿宋_GB2312"/>
          <w:sz w:val="32"/>
          <w:szCs w:val="32"/>
        </w:rPr>
        <w:t>指事业单位在专业业务活动及其辅助活动之外开展非独立核算经营活动取得的收入。</w:t>
      </w:r>
    </w:p>
    <w:p w14:paraId="1FF986B8">
      <w:pPr>
        <w:widowControl/>
        <w:ind w:firstLine="643" w:firstLineChars="200"/>
        <w:jc w:val="left"/>
        <w:rPr>
          <w:rFonts w:ascii="仿宋_GB2312" w:eastAsia="仿宋_GB2312"/>
          <w:sz w:val="32"/>
          <w:szCs w:val="32"/>
        </w:rPr>
      </w:pPr>
      <w:r>
        <w:rPr>
          <w:rFonts w:ascii="仿宋_GB2312" w:eastAsia="仿宋_GB2312"/>
          <w:b/>
          <w:sz w:val="32"/>
          <w:szCs w:val="32"/>
        </w:rPr>
        <w:t>五、附属单位上缴收入：</w:t>
      </w:r>
      <w:r>
        <w:rPr>
          <w:rFonts w:ascii="仿宋_GB2312" w:eastAsia="仿宋_GB2312"/>
          <w:sz w:val="32"/>
          <w:szCs w:val="32"/>
        </w:rPr>
        <w:t>指事业单位附属独立核算单位按照有关规定上缴的收入。</w:t>
      </w:r>
    </w:p>
    <w:p w14:paraId="087F17F0">
      <w:pPr>
        <w:widowControl/>
        <w:ind w:firstLine="643" w:firstLineChars="200"/>
        <w:jc w:val="left"/>
        <w:rPr>
          <w:rFonts w:ascii="仿宋_GB2312" w:eastAsia="仿宋_GB2312"/>
          <w:sz w:val="32"/>
          <w:szCs w:val="32"/>
        </w:rPr>
      </w:pPr>
      <w:r>
        <w:rPr>
          <w:rFonts w:ascii="仿宋_GB2312" w:eastAsia="仿宋_GB2312"/>
          <w:b/>
          <w:sz w:val="32"/>
          <w:szCs w:val="32"/>
        </w:rPr>
        <w:t>六、其他收入：</w:t>
      </w:r>
      <w:r>
        <w:rPr>
          <w:rFonts w:ascii="仿宋_GB2312" w:eastAsia="仿宋_GB2312"/>
          <w:sz w:val="32"/>
          <w:szCs w:val="32"/>
        </w:rPr>
        <w:t>指单位取得的除上述“财政拨款收入”“上级补助收入”“事业收入”“经营收入”“附属单位上缴收入”以外的各项收入。</w:t>
      </w:r>
    </w:p>
    <w:p w14:paraId="1B70577D">
      <w:pPr>
        <w:widowControl/>
        <w:ind w:firstLine="643" w:firstLineChars="200"/>
        <w:jc w:val="left"/>
        <w:rPr>
          <w:rFonts w:ascii="仿宋_GB2312" w:eastAsia="仿宋_GB2312"/>
          <w:sz w:val="32"/>
          <w:szCs w:val="32"/>
        </w:rPr>
      </w:pPr>
      <w:r>
        <w:rPr>
          <w:rFonts w:ascii="仿宋_GB2312" w:eastAsia="仿宋_GB2312"/>
          <w:b/>
          <w:sz w:val="32"/>
          <w:szCs w:val="32"/>
        </w:rPr>
        <w:t>七、年初结转和结余：</w:t>
      </w:r>
      <w:r>
        <w:rPr>
          <w:rFonts w:ascii="仿宋_GB2312" w:eastAsia="仿宋_GB2312"/>
          <w:sz w:val="32"/>
          <w:szCs w:val="32"/>
        </w:rPr>
        <w:t>指单位上年结转本年使用的基本支出结转、项目支出结转和结余、经营结余。</w:t>
      </w:r>
    </w:p>
    <w:p w14:paraId="34494593">
      <w:pPr>
        <w:widowControl/>
        <w:ind w:firstLine="643" w:firstLineChars="200"/>
        <w:jc w:val="left"/>
        <w:rPr>
          <w:rFonts w:ascii="仿宋_GB2312" w:eastAsia="仿宋_GB2312"/>
          <w:sz w:val="32"/>
          <w:szCs w:val="32"/>
        </w:rPr>
      </w:pPr>
      <w:r>
        <w:rPr>
          <w:rFonts w:ascii="仿宋_GB2312" w:eastAsia="仿宋_GB2312"/>
          <w:b/>
          <w:sz w:val="32"/>
          <w:szCs w:val="32"/>
        </w:rPr>
        <w:t>八、使用非财政拨款结余（含专用结余）：</w:t>
      </w:r>
      <w:r>
        <w:rPr>
          <w:rFonts w:ascii="仿宋_GB2312" w:eastAsia="仿宋_GB2312"/>
          <w:sz w:val="32"/>
          <w:szCs w:val="32"/>
        </w:rPr>
        <w:t>指单位按照预算管理要求使用非财政拨款结余弥补收支差额的金额，以及使用专用结余安排支出的金额。</w:t>
      </w:r>
    </w:p>
    <w:p w14:paraId="0C1C2E96">
      <w:pPr>
        <w:widowControl/>
        <w:ind w:firstLine="643" w:firstLineChars="200"/>
        <w:jc w:val="left"/>
        <w:rPr>
          <w:rFonts w:ascii="仿宋_GB2312" w:eastAsia="仿宋_GB2312"/>
          <w:sz w:val="32"/>
          <w:szCs w:val="32"/>
        </w:rPr>
      </w:pPr>
      <w:r>
        <w:rPr>
          <w:rFonts w:ascii="仿宋_GB2312" w:eastAsia="仿宋_GB2312"/>
          <w:b/>
          <w:sz w:val="32"/>
          <w:szCs w:val="32"/>
        </w:rPr>
        <w:t>九、结余分配</w:t>
      </w:r>
      <w:r>
        <w:rPr>
          <w:rFonts w:ascii="仿宋_GB2312" w:eastAsia="仿宋_GB2312"/>
          <w:sz w:val="32"/>
          <w:szCs w:val="32"/>
        </w:rPr>
        <w:t>：指单位缴纳企业所得税以及从非财政拨款结余或经营结余中提取各类结余的情况。</w:t>
      </w:r>
    </w:p>
    <w:p w14:paraId="3E3183F2">
      <w:pPr>
        <w:widowControl/>
        <w:ind w:firstLine="643" w:firstLineChars="200"/>
        <w:jc w:val="left"/>
        <w:rPr>
          <w:rFonts w:ascii="仿宋_GB2312" w:eastAsia="仿宋_GB2312"/>
          <w:sz w:val="32"/>
          <w:szCs w:val="32"/>
        </w:rPr>
      </w:pPr>
      <w:r>
        <w:rPr>
          <w:rFonts w:ascii="仿宋_GB2312" w:eastAsia="仿宋_GB2312"/>
          <w:b/>
          <w:sz w:val="32"/>
          <w:szCs w:val="32"/>
        </w:rPr>
        <w:t>十、年末结转和结余</w:t>
      </w:r>
      <w:r>
        <w:rPr>
          <w:rFonts w:ascii="仿宋_GB2312" w:eastAsia="仿宋_GB2312"/>
          <w:sz w:val="32"/>
          <w:szCs w:val="32"/>
        </w:rPr>
        <w:t>：指单位结转下年的基本支出结转、项目支出结转和结余、经营结余。</w:t>
      </w:r>
    </w:p>
    <w:p w14:paraId="0E1CF929">
      <w:pPr>
        <w:widowControl/>
        <w:ind w:firstLine="643" w:firstLineChars="200"/>
        <w:jc w:val="left"/>
        <w:rPr>
          <w:rFonts w:ascii="仿宋_GB2312" w:eastAsia="仿宋_GB2312"/>
          <w:sz w:val="32"/>
          <w:szCs w:val="32"/>
        </w:rPr>
      </w:pPr>
      <w:r>
        <w:rPr>
          <w:rFonts w:ascii="仿宋_GB2312" w:eastAsia="仿宋_GB2312"/>
          <w:b/>
          <w:sz w:val="32"/>
          <w:szCs w:val="32"/>
        </w:rPr>
        <w:t>十一、基本支出</w:t>
      </w:r>
      <w:r>
        <w:rPr>
          <w:rFonts w:ascii="仿宋_GB2312" w:eastAsia="仿宋_GB2312"/>
          <w:sz w:val="32"/>
          <w:szCs w:val="32"/>
        </w:rPr>
        <w:t>：指单位为保障机构正常运转、完成日常工作任务而发生的各项支出。</w:t>
      </w:r>
    </w:p>
    <w:p w14:paraId="4116815D">
      <w:pPr>
        <w:widowControl/>
        <w:ind w:firstLine="643" w:firstLineChars="200"/>
        <w:jc w:val="left"/>
        <w:rPr>
          <w:rFonts w:ascii="仿宋_GB2312" w:eastAsia="仿宋_GB2312"/>
          <w:sz w:val="32"/>
          <w:szCs w:val="32"/>
        </w:rPr>
      </w:pPr>
      <w:r>
        <w:rPr>
          <w:rFonts w:ascii="仿宋_GB2312" w:eastAsia="仿宋_GB2312"/>
          <w:b/>
          <w:sz w:val="32"/>
          <w:szCs w:val="32"/>
        </w:rPr>
        <w:t>十二、项目支出：</w:t>
      </w:r>
      <w:r>
        <w:rPr>
          <w:rFonts w:ascii="仿宋_GB2312" w:eastAsia="仿宋_GB2312"/>
          <w:sz w:val="32"/>
          <w:szCs w:val="32"/>
        </w:rPr>
        <w:t>指单位为完成特定的行政工作任务或事业发展目标，在基本支出之外发生的各项支出。</w:t>
      </w:r>
    </w:p>
    <w:p w14:paraId="369AA118">
      <w:pPr>
        <w:widowControl/>
        <w:ind w:firstLine="643" w:firstLineChars="200"/>
        <w:jc w:val="left"/>
        <w:rPr>
          <w:rFonts w:ascii="仿宋_GB2312" w:eastAsia="仿宋_GB2312"/>
          <w:sz w:val="32"/>
          <w:szCs w:val="32"/>
        </w:rPr>
      </w:pPr>
      <w:r>
        <w:rPr>
          <w:rFonts w:ascii="仿宋_GB2312" w:eastAsia="仿宋_GB2312"/>
          <w:b/>
          <w:sz w:val="32"/>
          <w:szCs w:val="32"/>
        </w:rPr>
        <w:t>十三、上缴上级支出：</w:t>
      </w:r>
      <w:r>
        <w:rPr>
          <w:rFonts w:ascii="仿宋_GB2312" w:eastAsia="仿宋_GB2312"/>
          <w:sz w:val="32"/>
          <w:szCs w:val="32"/>
        </w:rPr>
        <w:t>指事业单位按照财政部门和主管部门的规定上缴上级单位的支出。</w:t>
      </w:r>
    </w:p>
    <w:p w14:paraId="0AF3993C">
      <w:pPr>
        <w:widowControl/>
        <w:ind w:firstLine="643" w:firstLineChars="200"/>
        <w:jc w:val="left"/>
        <w:rPr>
          <w:rFonts w:ascii="仿宋_GB2312" w:eastAsia="仿宋_GB2312"/>
          <w:sz w:val="32"/>
          <w:szCs w:val="32"/>
        </w:rPr>
      </w:pPr>
      <w:r>
        <w:rPr>
          <w:rFonts w:ascii="仿宋_GB2312" w:eastAsia="仿宋_GB2312"/>
          <w:b/>
          <w:sz w:val="32"/>
          <w:szCs w:val="32"/>
        </w:rPr>
        <w:t>十四、经营支出：</w:t>
      </w:r>
      <w:r>
        <w:rPr>
          <w:rFonts w:ascii="仿宋_GB2312" w:eastAsia="仿宋_GB2312"/>
          <w:sz w:val="32"/>
          <w:szCs w:val="32"/>
        </w:rPr>
        <w:t>指事业单位在专业活动及辅助活动之外开展非独立核算经营活动发生的支出。</w:t>
      </w:r>
    </w:p>
    <w:p w14:paraId="6C3060EF">
      <w:pPr>
        <w:widowControl/>
        <w:ind w:firstLine="643" w:firstLineChars="200"/>
        <w:jc w:val="left"/>
        <w:rPr>
          <w:rFonts w:ascii="宋体" w:eastAsia="仿宋_GB2312"/>
          <w:sz w:val="32"/>
          <w:szCs w:val="32"/>
        </w:rPr>
      </w:pPr>
      <w:r>
        <w:rPr>
          <w:rFonts w:ascii="宋体" w:eastAsia="仿宋_GB2312"/>
          <w:b/>
          <w:sz w:val="32"/>
          <w:szCs w:val="32"/>
        </w:rPr>
        <w:t>十五、对附属单位补助支出：</w:t>
      </w:r>
      <w:r>
        <w:rPr>
          <w:rFonts w:ascii="宋体" w:eastAsia="仿宋_GB2312"/>
          <w:sz w:val="32"/>
          <w:szCs w:val="32"/>
        </w:rPr>
        <w:t>指事业单位用财政补助收入之外的收入对附属单位补助发生的支出。</w:t>
      </w:r>
    </w:p>
    <w:p w14:paraId="3E148639">
      <w:pPr>
        <w:widowControl/>
        <w:ind w:firstLine="643" w:firstLineChars="200"/>
        <w:jc w:val="left"/>
        <w:rPr>
          <w:rFonts w:ascii="仿宋_GB2312" w:eastAsia="仿宋_GB2312"/>
          <w:sz w:val="32"/>
          <w:szCs w:val="32"/>
        </w:rPr>
      </w:pPr>
      <w:r>
        <w:rPr>
          <w:rFonts w:ascii="仿宋_GB2312" w:eastAsia="仿宋_GB2312"/>
          <w:b/>
          <w:sz w:val="32"/>
          <w:szCs w:val="32"/>
        </w:rPr>
        <w:t>十六、“三公”经费：</w:t>
      </w:r>
      <w:r>
        <w:rPr>
          <w:rFonts w:ascii="仿宋_GB2312" w:eastAsia="仿宋_GB2312"/>
          <w:sz w:val="32"/>
          <w:szCs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036DD61A">
      <w:pPr>
        <w:widowControl/>
        <w:ind w:firstLine="643" w:firstLineChars="200"/>
        <w:jc w:val="left"/>
        <w:rPr>
          <w:rFonts w:ascii="仿宋_GB2312" w:eastAsia="仿宋_GB2312"/>
          <w:sz w:val="32"/>
          <w:szCs w:val="32"/>
        </w:rPr>
      </w:pPr>
      <w:r>
        <w:rPr>
          <w:rFonts w:ascii="仿宋_GB2312" w:eastAsia="仿宋_GB2312"/>
          <w:b/>
          <w:sz w:val="32"/>
          <w:szCs w:val="32"/>
        </w:rPr>
        <w:t>十七、机关运行经费：</w:t>
      </w:r>
      <w:r>
        <w:rPr>
          <w:rFonts w:ascii="仿宋_GB2312" w:eastAsia="仿宋_GB2312"/>
          <w:sz w:val="32"/>
          <w:szCs w:val="32"/>
        </w:rPr>
        <w:t>指行政单位和参照公务员法管理的事业单位财政拨款基本支出中的公用经费支出。</w:t>
      </w:r>
    </w:p>
    <w:p w14:paraId="1ACD4190">
      <w:pPr>
        <w:widowControl/>
      </w:pPr>
      <w:r>
        <w:rPr>
          <w:sz w:val="0"/>
          <w:szCs w:val="0"/>
        </w:rPr>
        <w:br w:type="page"/>
      </w:r>
    </w:p>
    <w:p w14:paraId="6801C01A">
      <w:pPr>
        <w:widowControl/>
        <w:jc w:val="center"/>
        <w:outlineLvl w:val="0"/>
        <w:rPr>
          <w:rFonts w:ascii="黑体" w:eastAsia="黑体"/>
          <w:sz w:val="32"/>
          <w:szCs w:val="32"/>
        </w:rPr>
      </w:pPr>
      <w:r>
        <w:rPr>
          <w:rFonts w:ascii="黑体" w:eastAsia="黑体"/>
          <w:sz w:val="32"/>
          <w:szCs w:val="32"/>
        </w:rPr>
        <w:t>第四部分 部门决算报表（见附表）</w:t>
      </w:r>
    </w:p>
    <w:p w14:paraId="347EED36">
      <w:pPr>
        <w:widowControl/>
        <w:ind w:firstLine="640" w:firstLineChars="200"/>
        <w:jc w:val="left"/>
        <w:outlineLvl w:val="1"/>
        <w:rPr>
          <w:rFonts w:ascii="仿宋_GB2312" w:eastAsia="仿宋_GB2312"/>
          <w:sz w:val="32"/>
          <w:szCs w:val="32"/>
        </w:rPr>
      </w:pPr>
      <w:r>
        <w:rPr>
          <w:rFonts w:ascii="仿宋_GB2312" w:eastAsia="仿宋_GB2312"/>
          <w:sz w:val="32"/>
          <w:szCs w:val="32"/>
        </w:rPr>
        <w:t>一、《收入支出决算总表》</w:t>
      </w:r>
    </w:p>
    <w:p w14:paraId="2C9635C9">
      <w:pPr>
        <w:widowControl/>
        <w:ind w:firstLine="640" w:firstLineChars="200"/>
        <w:jc w:val="left"/>
        <w:outlineLvl w:val="1"/>
        <w:rPr>
          <w:rFonts w:ascii="仿宋_GB2312" w:eastAsia="仿宋_GB2312"/>
          <w:sz w:val="32"/>
          <w:szCs w:val="32"/>
        </w:rPr>
      </w:pPr>
      <w:r>
        <w:rPr>
          <w:rFonts w:ascii="仿宋_GB2312" w:eastAsia="仿宋_GB2312"/>
          <w:sz w:val="32"/>
          <w:szCs w:val="32"/>
        </w:rPr>
        <w:t>二、《收入决算表》</w:t>
      </w:r>
    </w:p>
    <w:p w14:paraId="084B196A">
      <w:pPr>
        <w:widowControl/>
        <w:ind w:firstLine="640" w:firstLineChars="200"/>
        <w:jc w:val="left"/>
        <w:outlineLvl w:val="1"/>
        <w:rPr>
          <w:rFonts w:ascii="仿宋_GB2312" w:eastAsia="仿宋_GB2312"/>
          <w:sz w:val="32"/>
          <w:szCs w:val="32"/>
        </w:rPr>
      </w:pPr>
      <w:r>
        <w:rPr>
          <w:rFonts w:ascii="仿宋_GB2312" w:eastAsia="仿宋_GB2312"/>
          <w:sz w:val="32"/>
          <w:szCs w:val="32"/>
        </w:rPr>
        <w:t>三、《支出决算表》</w:t>
      </w:r>
    </w:p>
    <w:p w14:paraId="072698C5">
      <w:pPr>
        <w:widowControl/>
        <w:ind w:firstLine="640" w:firstLineChars="200"/>
        <w:jc w:val="left"/>
        <w:outlineLvl w:val="1"/>
        <w:rPr>
          <w:rFonts w:ascii="仿宋_GB2312" w:eastAsia="仿宋_GB2312"/>
          <w:sz w:val="32"/>
          <w:szCs w:val="32"/>
        </w:rPr>
      </w:pPr>
      <w:r>
        <w:rPr>
          <w:rFonts w:ascii="仿宋_GB2312" w:eastAsia="仿宋_GB2312"/>
          <w:sz w:val="32"/>
          <w:szCs w:val="32"/>
        </w:rPr>
        <w:t>四、《财政拨款收入支出决算总表》</w:t>
      </w:r>
    </w:p>
    <w:p w14:paraId="3E0615B7">
      <w:pPr>
        <w:widowControl/>
        <w:ind w:firstLine="640" w:firstLineChars="200"/>
        <w:jc w:val="left"/>
        <w:outlineLvl w:val="1"/>
        <w:rPr>
          <w:rFonts w:ascii="仿宋_GB2312" w:eastAsia="仿宋_GB2312"/>
          <w:sz w:val="32"/>
          <w:szCs w:val="32"/>
        </w:rPr>
      </w:pPr>
      <w:r>
        <w:rPr>
          <w:rFonts w:ascii="仿宋_GB2312" w:eastAsia="仿宋_GB2312"/>
          <w:sz w:val="32"/>
          <w:szCs w:val="32"/>
        </w:rPr>
        <w:t>五、《一般公共预算财政拨款支出决算表》</w:t>
      </w:r>
    </w:p>
    <w:p w14:paraId="4C6FB907">
      <w:pPr>
        <w:widowControl/>
        <w:ind w:firstLine="640" w:firstLineChars="200"/>
        <w:jc w:val="left"/>
        <w:outlineLvl w:val="1"/>
        <w:rPr>
          <w:rFonts w:ascii="仿宋_GB2312" w:eastAsia="仿宋_GB2312"/>
          <w:sz w:val="32"/>
          <w:szCs w:val="32"/>
        </w:rPr>
      </w:pPr>
      <w:r>
        <w:rPr>
          <w:rFonts w:ascii="仿宋_GB2312" w:eastAsia="仿宋_GB2312"/>
          <w:sz w:val="32"/>
          <w:szCs w:val="32"/>
        </w:rPr>
        <w:t>六、《一般公共预算财政拨款基本支出决算表》</w:t>
      </w:r>
    </w:p>
    <w:p w14:paraId="431719B3">
      <w:pPr>
        <w:widowControl/>
        <w:ind w:firstLine="640" w:firstLineChars="200"/>
        <w:jc w:val="left"/>
        <w:outlineLvl w:val="1"/>
        <w:rPr>
          <w:rFonts w:ascii="仿宋_GB2312" w:eastAsia="仿宋_GB2312"/>
          <w:sz w:val="32"/>
          <w:szCs w:val="32"/>
        </w:rPr>
      </w:pPr>
      <w:r>
        <w:rPr>
          <w:rFonts w:ascii="仿宋_GB2312" w:eastAsia="仿宋_GB2312"/>
          <w:sz w:val="32"/>
          <w:szCs w:val="32"/>
        </w:rPr>
        <w:t>七、《政府性基金预算财政拨款收入支出决算表》</w:t>
      </w:r>
    </w:p>
    <w:p w14:paraId="47C4C78D">
      <w:pPr>
        <w:widowControl/>
        <w:ind w:firstLine="640" w:firstLineChars="200"/>
        <w:jc w:val="left"/>
        <w:outlineLvl w:val="1"/>
        <w:rPr>
          <w:rFonts w:ascii="仿宋_GB2312" w:eastAsia="仿宋_GB2312"/>
          <w:sz w:val="32"/>
          <w:szCs w:val="32"/>
        </w:rPr>
      </w:pPr>
      <w:r>
        <w:rPr>
          <w:rFonts w:ascii="仿宋_GB2312" w:eastAsia="仿宋_GB2312"/>
          <w:sz w:val="32"/>
          <w:szCs w:val="32"/>
        </w:rPr>
        <w:t>八、《国有资本经营预算财政拨款收入支出决算表》</w:t>
      </w:r>
    </w:p>
    <w:p w14:paraId="72B50F9F">
      <w:pPr>
        <w:widowControl/>
        <w:ind w:firstLine="640" w:firstLineChars="200"/>
        <w:jc w:val="left"/>
        <w:outlineLvl w:val="1"/>
        <w:rPr>
          <w:rFonts w:ascii="仿宋_GB2312" w:eastAsia="仿宋_GB2312"/>
          <w:sz w:val="32"/>
          <w:szCs w:val="32"/>
        </w:rPr>
      </w:pPr>
      <w:r>
        <w:rPr>
          <w:rFonts w:ascii="仿宋_GB2312" w:eastAsia="仿宋_GB2312"/>
          <w:sz w:val="32"/>
          <w:szCs w:val="32"/>
        </w:rPr>
        <w:t>九、《财政拨款“三公”经费支出决算表》</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066C334-5123-42E2-AC73-A5BD13CB06F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2" w:fontKey="{823EF1CC-54DD-4329-ADE1-69ECAC1836D3}"/>
  </w:font>
  <w:font w:name="楷体_GB2312">
    <w:panose1 w:val="02010609030101010101"/>
    <w:charset w:val="86"/>
    <w:family w:val="auto"/>
    <w:pitch w:val="default"/>
    <w:sig w:usb0="00000001" w:usb1="080E0000" w:usb2="00000000" w:usb3="00000000" w:csb0="00040000" w:csb1="00000000"/>
  </w:font>
  <w:font w:name="FangSong_GB2312">
    <w:altName w:val="仿宋_GB2312"/>
    <w:panose1 w:val="020B0604020202020204"/>
    <w:charset w:val="86"/>
    <w:family w:val="modern"/>
    <w:pitch w:val="default"/>
    <w:sig w:usb0="00000000" w:usb1="00000000" w:usb2="00000010" w:usb3="00000000" w:csb0="00040000" w:csb1="00000000"/>
  </w:font>
  <w:font w:name="方正小标宋_GBK">
    <w:panose1 w:val="02000000000000000000"/>
    <w:charset w:val="86"/>
    <w:family w:val="script"/>
    <w:pitch w:val="default"/>
    <w:sig w:usb0="A00002BF" w:usb1="38CF7CFA" w:usb2="00082016" w:usb3="00000000" w:csb0="00040001" w:csb1="00000000"/>
    <w:embedRegular r:id="rId3" w:fontKey="{AD68F5C8-C7B6-4B5A-A299-C5EF7377517B}"/>
  </w:font>
  <w:font w:name="方正仿宋_GB2312">
    <w:panose1 w:val="02000000000000000000"/>
    <w:charset w:val="86"/>
    <w:family w:val="auto"/>
    <w:pitch w:val="default"/>
    <w:sig w:usb0="A00002BF" w:usb1="184F6CFA" w:usb2="00000012" w:usb3="00000000" w:csb0="00040001" w:csb1="00000000"/>
    <w:embedRegular r:id="rId4" w:fontKey="{D2FC3394-EE8A-43E8-A6CB-C0CACE14E5A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9"/>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873"/>
    <w:rsid w:val="00165674"/>
    <w:rsid w:val="002B7B66"/>
    <w:rsid w:val="006C3747"/>
    <w:rsid w:val="00807414"/>
    <w:rsid w:val="00C40381"/>
    <w:rsid w:val="00C7592E"/>
    <w:rsid w:val="00C86445"/>
    <w:rsid w:val="00E47B7F"/>
    <w:rsid w:val="00F21D30"/>
    <w:rsid w:val="00F34873"/>
    <w:rsid w:val="04F52C17"/>
    <w:rsid w:val="07BC4304"/>
    <w:rsid w:val="107E484D"/>
    <w:rsid w:val="12FB4AD4"/>
    <w:rsid w:val="13F05A62"/>
    <w:rsid w:val="15AC3C0A"/>
    <w:rsid w:val="19066BFB"/>
    <w:rsid w:val="1A97424B"/>
    <w:rsid w:val="1B4C0E16"/>
    <w:rsid w:val="1F7D1D86"/>
    <w:rsid w:val="20D56417"/>
    <w:rsid w:val="20FB77F4"/>
    <w:rsid w:val="265B0C57"/>
    <w:rsid w:val="266072EE"/>
    <w:rsid w:val="26D514AA"/>
    <w:rsid w:val="2BB62C95"/>
    <w:rsid w:val="2E7F1A64"/>
    <w:rsid w:val="34321327"/>
    <w:rsid w:val="352C4EF4"/>
    <w:rsid w:val="38E23774"/>
    <w:rsid w:val="3EAD6F0F"/>
    <w:rsid w:val="425C5EED"/>
    <w:rsid w:val="46F030A7"/>
    <w:rsid w:val="47CF0F0F"/>
    <w:rsid w:val="4DFE49D1"/>
    <w:rsid w:val="50E35A2B"/>
    <w:rsid w:val="53DE18F9"/>
    <w:rsid w:val="5F030368"/>
    <w:rsid w:val="61842912"/>
    <w:rsid w:val="61DC62AA"/>
    <w:rsid w:val="63D81ADA"/>
    <w:rsid w:val="6BCF5F0B"/>
    <w:rsid w:val="6D30394E"/>
    <w:rsid w:val="6DA9227C"/>
    <w:rsid w:val="6EF0095F"/>
    <w:rsid w:val="76FB5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0"/>
    <w:rPr>
      <w:sz w:val="18"/>
      <w:szCs w:val="18"/>
    </w:rPr>
  </w:style>
  <w:style w:type="character" w:customStyle="1" w:styleId="7">
    <w:name w:val="页脚 Char"/>
    <w:basedOn w:val="5"/>
    <w:link w:val="2"/>
    <w:qFormat/>
    <w:uiPriority w:val="0"/>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14</Pages>
  <Words>6530</Words>
  <Characters>7301</Characters>
  <Lines>51</Lines>
  <Paragraphs>14</Paragraphs>
  <TotalTime>0</TotalTime>
  <ScaleCrop>false</ScaleCrop>
  <LinksUpToDate>false</LinksUpToDate>
  <CharactersWithSpaces>7310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2026-08-12T09:15:00Z</dcterms:created>
  <dc:creator>Administrator</dc:creator>
  <cp:lastModifiedBy>蹁跹</cp:lastModifiedBy>
  <dcterms:modified xsi:type="dcterms:W3CDTF">2026-08-21T10:57:43Z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eyJoZGlkIjoiNTBiYjFiYzY0OWM2ODlhYjA1NDAwODJkOGMwZGNkYTMiLCJ1c2VySWQiOiIxMTU3MzgyOTA5In0=</vt:lpwstr>
  </property>
  <property fmtid="{D5CDD505-2E9C-101B-9397-08002B2CF9AE}" pid="4" name="ICV">
    <vt:lpwstr>8BF80DB683714148AC6FACFA90E71539_13</vt:lpwstr>
  </property>
</Properties>
</file>