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718A58">
      <w:pPr>
        <w:spacing w:after="0" w:line="240" w:lineRule="auto"/>
        <w:rPr>
          <w:rFonts w:ascii="宋体" w:eastAsia="宋体"/>
          <w:sz w:val="32"/>
          <w:szCs w:val="32"/>
        </w:rPr>
      </w:pPr>
    </w:p>
    <w:p w14:paraId="43C5737C">
      <w:pPr>
        <w:spacing w:after="0" w:line="240" w:lineRule="auto"/>
        <w:rPr>
          <w:rFonts w:ascii="宋体" w:eastAsia="宋体"/>
          <w:sz w:val="44"/>
          <w:szCs w:val="44"/>
        </w:rPr>
      </w:pPr>
    </w:p>
    <w:p w14:paraId="7A545B4C">
      <w:pPr>
        <w:spacing w:after="0" w:line="240" w:lineRule="auto"/>
        <w:rPr>
          <w:rFonts w:ascii="宋体" w:eastAsia="宋体"/>
          <w:sz w:val="44"/>
          <w:szCs w:val="44"/>
        </w:rPr>
      </w:pPr>
    </w:p>
    <w:p w14:paraId="0D6775B3">
      <w:pPr>
        <w:spacing w:after="0" w:line="240" w:lineRule="auto"/>
        <w:rPr>
          <w:rFonts w:ascii="宋体" w:eastAsia="宋体"/>
          <w:sz w:val="44"/>
          <w:szCs w:val="44"/>
        </w:rPr>
      </w:pPr>
    </w:p>
    <w:p w14:paraId="76DAAFBD">
      <w:pPr>
        <w:keepNext w:val="0"/>
        <w:keepLines w:val="0"/>
        <w:pageBreakBefore w:val="0"/>
        <w:widowControl w:val="0"/>
        <w:kinsoku/>
        <w:wordWrap/>
        <w:overflowPunct/>
        <w:topLinePunct w:val="0"/>
        <w:autoSpaceDE/>
        <w:autoSpaceDN/>
        <w:bidi w:val="0"/>
        <w:adjustRightInd/>
        <w:snapToGrid/>
        <w:spacing w:after="0" w:line="640" w:lineRule="exact"/>
        <w:jc w:val="center"/>
        <w:textAlignment w:val="auto"/>
        <w:rPr>
          <w:rFonts w:hint="eastAsia" w:ascii="方正小标宋_GBK" w:hAnsi="宋体" w:eastAsia="方正小标宋_GBK" w:cs="Times New Roman"/>
          <w:kern w:val="2"/>
          <w:sz w:val="44"/>
          <w:szCs w:val="44"/>
          <w:highlight w:val="none"/>
          <w:lang w:eastAsia="zh-CN"/>
        </w:rPr>
      </w:pPr>
      <w:r>
        <w:rPr>
          <w:rFonts w:hint="eastAsia" w:ascii="方正小标宋_GBK" w:hAnsi="宋体" w:eastAsia="方正小标宋_GBK" w:cs="Times New Roman"/>
          <w:kern w:val="2"/>
          <w:sz w:val="44"/>
          <w:szCs w:val="44"/>
          <w:highlight w:val="none"/>
          <w:lang w:eastAsia="zh-CN"/>
        </w:rPr>
        <w:t>新疆维吾尔自治区国土空间规划研究中心</w:t>
      </w:r>
    </w:p>
    <w:p w14:paraId="78F7D75C">
      <w:pPr>
        <w:keepNext w:val="0"/>
        <w:keepLines w:val="0"/>
        <w:pageBreakBefore w:val="0"/>
        <w:widowControl w:val="0"/>
        <w:kinsoku/>
        <w:wordWrap/>
        <w:overflowPunct/>
        <w:topLinePunct w:val="0"/>
        <w:autoSpaceDE/>
        <w:autoSpaceDN/>
        <w:bidi w:val="0"/>
        <w:adjustRightInd/>
        <w:snapToGrid/>
        <w:spacing w:after="0" w:line="640" w:lineRule="exact"/>
        <w:jc w:val="center"/>
        <w:textAlignment w:val="auto"/>
        <w:rPr>
          <w:rFonts w:hint="eastAsia" w:ascii="方正小标宋_GBK" w:hAnsi="宋体" w:eastAsia="方正小标宋_GBK" w:cs="Times New Roman"/>
          <w:kern w:val="2"/>
          <w:sz w:val="44"/>
          <w:szCs w:val="44"/>
          <w:highlight w:val="none"/>
          <w:lang w:eastAsia="zh-CN"/>
        </w:rPr>
      </w:pPr>
      <w:r>
        <w:rPr>
          <w:rFonts w:hint="eastAsia" w:ascii="方正小标宋_GBK" w:hAnsi="宋体" w:eastAsia="方正小标宋_GBK" w:cs="Times New Roman"/>
          <w:kern w:val="2"/>
          <w:sz w:val="44"/>
          <w:szCs w:val="44"/>
          <w:highlight w:val="none"/>
          <w:lang w:eastAsia="zh-CN"/>
        </w:rPr>
        <w:t>2025年度部门决算公开说明</w:t>
      </w:r>
    </w:p>
    <w:p w14:paraId="07B4C3C2">
      <w:pPr>
        <w:rPr>
          <w:lang w:eastAsia="zh-CN"/>
        </w:rPr>
      </w:pPr>
      <w:r>
        <w:rPr>
          <w:sz w:val="0"/>
          <w:szCs w:val="0"/>
          <w:lang w:eastAsia="zh-CN"/>
        </w:rPr>
        <w:br w:type="page"/>
      </w:r>
    </w:p>
    <w:p w14:paraId="78CFC621">
      <w:pPr>
        <w:spacing w:after="0" w:line="240" w:lineRule="auto"/>
        <w:jc w:val="center"/>
        <w:rPr>
          <w:rFonts w:ascii="黑体" w:eastAsia="黑体"/>
          <w:sz w:val="32"/>
          <w:szCs w:val="32"/>
          <w:lang w:eastAsia="zh-CN"/>
        </w:rPr>
      </w:pPr>
      <w:r>
        <w:rPr>
          <w:rFonts w:ascii="黑体" w:eastAsia="黑体"/>
          <w:b/>
          <w:sz w:val="32"/>
          <w:szCs w:val="32"/>
          <w:lang w:eastAsia="zh-CN"/>
        </w:rPr>
        <w:t>目 录</w:t>
      </w:r>
    </w:p>
    <w:p w14:paraId="57A85CBE">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371EC073">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364FEA8E">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w:t>
      </w:r>
    </w:p>
    <w:p w14:paraId="14718DAD">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4F5A8053">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360CB1C7">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4A9A7A1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2D4FE7A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69C935DA">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404BAD22">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50CBA22">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5F89DB6E">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03614C71">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7F6A124A">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31D7BA12">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40A72CCC">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140CE0DE">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64A9C3EA">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2B09F53E">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285482CA">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4E188288">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642A68A4">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1DFA1F34">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1F8C6ACC">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3BAAA7A2">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09F57F46">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378A087F">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6E83F893">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14B15508">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00E920DF">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508C073">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1E82CADF">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DC68B46">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26A6F727">
      <w:pPr>
        <w:rPr>
          <w:lang w:eastAsia="zh-CN"/>
        </w:rPr>
      </w:pPr>
      <w:r>
        <w:rPr>
          <w:sz w:val="0"/>
          <w:szCs w:val="0"/>
          <w:lang w:eastAsia="zh-CN"/>
        </w:rPr>
        <w:br w:type="page"/>
      </w:r>
    </w:p>
    <w:p w14:paraId="26F02A05">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第一部分单位概况</w:t>
      </w:r>
    </w:p>
    <w:p w14:paraId="49495F8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一、主要职能</w:t>
      </w:r>
    </w:p>
    <w:p w14:paraId="1EB8543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自治区国土空间规划研究中心是自治区自然资源厅所属县（处）级事业单位，主要职责是：承担国土空间规划战略性、基础性课题研究；承担拟定国土空间规划技术标准和技术规定；承担报自治区人民政府审批的国土空间总体规划、专项规划技术审查；承担国土空间规划编制实施和规划许可管理技术服务；承担国土空间规划“一张图”实施监督系统建设；开展国土空间规划科技创新、技术咨询服务和对外交流合作。</w:t>
      </w:r>
    </w:p>
    <w:p w14:paraId="3848DB0B">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w:t>
      </w:r>
    </w:p>
    <w:p w14:paraId="1C52C88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新疆维吾尔自治区国土空间规划研究中心无下属预算单位。</w:t>
      </w:r>
    </w:p>
    <w:p w14:paraId="353499D6">
      <w:pPr>
        <w:rPr>
          <w:lang w:eastAsia="zh-CN"/>
        </w:rPr>
      </w:pPr>
      <w:r>
        <w:rPr>
          <w:sz w:val="0"/>
          <w:szCs w:val="0"/>
          <w:lang w:eastAsia="zh-CN"/>
        </w:rPr>
        <w:br w:type="page"/>
      </w:r>
    </w:p>
    <w:p w14:paraId="329D0E90">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154C034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26D0A61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2025年度收入总计1,445.66万元，其中：本年收入合计1,437.39万元，使用非财政拨款结余（含专用结余）0.00万元，年初结转和结余8.27万元。</w:t>
      </w:r>
    </w:p>
    <w:p w14:paraId="0F5DCDA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2025年度支出总计1,445.66万元，其中：本年支出合计1,421.64万元，结余分配0.00万元，年末结转和结余24.02万元。</w:t>
      </w:r>
    </w:p>
    <w:p w14:paraId="5E60F9C0">
      <w:pPr>
        <w:spacing w:after="0" w:line="240" w:lineRule="auto"/>
        <w:ind w:firstLine="640" w:firstLineChars="200"/>
        <w:jc w:val="both"/>
        <w:rPr>
          <w:rFonts w:ascii="仿宋_GB2312" w:eastAsia="仿宋_GB2312"/>
          <w:sz w:val="32"/>
          <w:szCs w:val="32"/>
          <w:highlight w:val="none"/>
          <w:lang w:eastAsia="zh-CN"/>
        </w:rPr>
      </w:pPr>
      <w:r>
        <w:rPr>
          <w:rFonts w:ascii="仿宋_GB2312" w:eastAsia="仿宋_GB2312"/>
          <w:sz w:val="32"/>
          <w:szCs w:val="32"/>
          <w:lang w:eastAsia="zh-CN"/>
        </w:rPr>
        <w:t>收入支出总体与上年相比，减少19.35万元，下降1.32%，主要原因是：</w:t>
      </w:r>
      <w:r>
        <w:rPr>
          <w:rFonts w:hint="eastAsia" w:ascii="仿宋" w:hAnsi="仿宋" w:eastAsia="仿宋"/>
          <w:color w:val="auto"/>
          <w:sz w:val="32"/>
          <w:szCs w:val="32"/>
        </w:rPr>
        <w:t>财政预算项目经费减少</w:t>
      </w:r>
      <w:r>
        <w:rPr>
          <w:rFonts w:ascii="仿宋_GB2312" w:eastAsia="仿宋_GB2312"/>
          <w:sz w:val="32"/>
          <w:szCs w:val="32"/>
          <w:highlight w:val="none"/>
          <w:lang w:eastAsia="zh-CN"/>
        </w:rPr>
        <w:t>。</w:t>
      </w:r>
    </w:p>
    <w:p w14:paraId="1F09F1E2">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4948B79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本年收入1,437.39万元，其中：财政拨款收入1,400.33万元,占97.42%；上级补助收入0.00万元,占0.00%；事业收入0.00万元，占0.00%；经营收入0.00万元,占0.00%；附属单位上缴收入0.00万元，占0.00%；其他收入37.06万元，占2.58%。</w:t>
      </w:r>
    </w:p>
    <w:p w14:paraId="1A207BCE">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7A67AFB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本年支出1,421.64万元，其中：基本支出256.56万元，占18.05%；项目支出1,165.09万元，占81.95%；上缴上级支出0.00万元，占0.00%；经营支出0.00万元，占0.00%；对附属单位补助支出0.00万元，占0.00%。</w:t>
      </w:r>
    </w:p>
    <w:p w14:paraId="0F154D8C">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470332C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财政拨款收入总计1,400.33万元，其中：年初财政拨款结转和结余0.00万元，本年财政拨款收入1,400.33万元。财政拨款支出总计1,400.33万元，其中：年末财政拨款结转和结余0.00万元，本年财政拨款支出1,400.33万元。</w:t>
      </w:r>
    </w:p>
    <w:p w14:paraId="7C1E7B8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财政拨款收入支出总体与上年相比，减少16.57万元，下降1.17%，主要原因是：</w:t>
      </w:r>
      <w:r>
        <w:rPr>
          <w:rFonts w:ascii="仿宋_GB2312" w:eastAsia="仿宋_GB2312"/>
          <w:sz w:val="32"/>
          <w:szCs w:val="32"/>
          <w:highlight w:val="none"/>
          <w:lang w:eastAsia="zh-CN"/>
        </w:rPr>
        <w:t>财政项目资金较上年</w:t>
      </w:r>
      <w:r>
        <w:rPr>
          <w:rFonts w:hint="eastAsia" w:ascii="仿宋_GB2312" w:eastAsia="仿宋_GB2312"/>
          <w:sz w:val="32"/>
          <w:szCs w:val="32"/>
          <w:highlight w:val="none"/>
          <w:lang w:val="en-US" w:eastAsia="zh-CN"/>
        </w:rPr>
        <w:t>减少</w:t>
      </w:r>
      <w:r>
        <w:rPr>
          <w:rFonts w:ascii="仿宋_GB2312" w:eastAsia="仿宋_GB2312"/>
          <w:sz w:val="32"/>
          <w:szCs w:val="32"/>
          <w:highlight w:val="none"/>
          <w:lang w:eastAsia="zh-CN"/>
        </w:rPr>
        <w:t>。</w:t>
      </w:r>
      <w:r>
        <w:rPr>
          <w:rFonts w:ascii="仿宋_GB2312" w:eastAsia="仿宋_GB2312"/>
          <w:sz w:val="32"/>
          <w:szCs w:val="32"/>
          <w:lang w:eastAsia="zh-CN"/>
        </w:rPr>
        <w:t>与年初预算相比，年初预算数1,379.37万元，决算数1,400.33万元，预决算差异率1.52%，主要原因是：按照工作要求，年中追加新疆人才发展基金2025年度第二轮支持资金—智力援疆创新拓展人才计划经费，同时追加人员工资及社保经费。</w:t>
      </w:r>
    </w:p>
    <w:p w14:paraId="1D29994D">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01E14F00">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按照党中央、国务院关于党政机关习惯过紧日子的有关要求，厉行节约办一切事业，严控一般性支出。同时坚持有保有压，优化支出结构，提高资金使用效率，合理保障人员经费、项目实施、业务运转等重点支出，体现在有关支出科目中。</w:t>
      </w:r>
    </w:p>
    <w:p w14:paraId="0E321742">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按照支出功能分类，自然资源海洋气象等支出（类）自然资源事务（款）自然资源规划及管理（项）的支出占本年财政拨款支出总额的比重最高，2025年度决算数为1,119.47万元，占比79.94%，主要用于</w:t>
      </w:r>
      <w:r>
        <w:rPr>
          <w:rFonts w:hint="eastAsia" w:ascii="仿宋_GB2312" w:eastAsia="仿宋_GB2312"/>
          <w:sz w:val="32"/>
          <w:szCs w:val="32"/>
          <w:lang w:eastAsia="zh-CN"/>
        </w:rPr>
        <w:t>自治区国土空间规划体系建设项目</w:t>
      </w:r>
      <w:r>
        <w:rPr>
          <w:rFonts w:ascii="仿宋_GB2312" w:eastAsia="仿宋_GB2312"/>
          <w:sz w:val="32"/>
          <w:szCs w:val="32"/>
          <w:lang w:eastAsia="zh-CN"/>
        </w:rPr>
        <w:t>。</w:t>
      </w:r>
    </w:p>
    <w:p w14:paraId="6C780D9C">
      <w:pPr>
        <w:spacing w:after="0" w:line="240" w:lineRule="auto"/>
        <w:ind w:firstLine="640" w:firstLineChars="200"/>
        <w:jc w:val="both"/>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455FE89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2025年度一般公共预算财政拨款支出1,400.33万元，占本年支出合计的98.50%。与上年相比，减少16.57万元，下降1.17%，主要原因是：</w:t>
      </w:r>
      <w:r>
        <w:rPr>
          <w:rFonts w:hint="eastAsia" w:ascii="仿宋" w:hAnsi="仿宋" w:eastAsia="仿宋"/>
          <w:color w:val="auto"/>
          <w:sz w:val="32"/>
          <w:szCs w:val="32"/>
        </w:rPr>
        <w:t>财政预算项目经费减少</w:t>
      </w:r>
      <w:r>
        <w:rPr>
          <w:rFonts w:ascii="仿宋_GB2312" w:eastAsia="仿宋_GB2312"/>
          <w:sz w:val="32"/>
          <w:szCs w:val="32"/>
          <w:lang w:eastAsia="zh-CN"/>
        </w:rPr>
        <w:t>。与年初预算相比，年初预算数1,379.37万元，决算数1,400.33万元，预决算差异率1.52%，主要原因是：按照工作要求，年中追加新疆人才发展基金2025年度第二轮支持资金—智力援疆创新拓展人才计划经费，同时追加人员工资及社保经费。</w:t>
      </w:r>
    </w:p>
    <w:p w14:paraId="7BF5DCE1">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2365D5BC">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val="en-US" w:eastAsia="zh-CN"/>
        </w:rPr>
        <w:t>1</w:t>
      </w:r>
      <w:r>
        <w:rPr>
          <w:rFonts w:ascii="仿宋_GB2312" w:eastAsia="仿宋_GB2312"/>
          <w:sz w:val="32"/>
          <w:szCs w:val="32"/>
          <w:lang w:eastAsia="zh-CN"/>
        </w:rPr>
        <w:t>.社会保障和就业支出（类）54.97万元，占3.93%。</w:t>
      </w:r>
    </w:p>
    <w:p w14:paraId="1AAB1E65">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val="en-US" w:eastAsia="zh-CN"/>
        </w:rPr>
        <w:t>2.</w:t>
      </w:r>
      <w:r>
        <w:rPr>
          <w:rFonts w:ascii="仿宋_GB2312" w:eastAsia="仿宋_GB2312"/>
          <w:sz w:val="32"/>
          <w:szCs w:val="32"/>
          <w:lang w:eastAsia="zh-CN"/>
        </w:rPr>
        <w:t>卫生健康支出（类）22.71万元，占1.62%。</w:t>
      </w:r>
    </w:p>
    <w:p w14:paraId="31B2CE4C">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val="en-US" w:eastAsia="zh-CN"/>
        </w:rPr>
        <w:t>3.</w:t>
      </w:r>
      <w:r>
        <w:rPr>
          <w:rFonts w:ascii="仿宋_GB2312" w:eastAsia="仿宋_GB2312"/>
          <w:sz w:val="32"/>
          <w:szCs w:val="32"/>
          <w:lang w:eastAsia="zh-CN"/>
        </w:rPr>
        <w:t>自然资源海洋气象等支出（类）1,305.41万元，占93.22%。</w:t>
      </w:r>
    </w:p>
    <w:p w14:paraId="25649330">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val="en-US" w:eastAsia="zh-CN"/>
        </w:rPr>
        <w:t>4.</w:t>
      </w:r>
      <w:r>
        <w:rPr>
          <w:rFonts w:ascii="仿宋_GB2312" w:eastAsia="仿宋_GB2312"/>
          <w:sz w:val="32"/>
          <w:szCs w:val="32"/>
          <w:lang w:eastAsia="zh-CN"/>
        </w:rPr>
        <w:t>住房保障支出（类）17.24万元，占1.23%。</w:t>
      </w:r>
    </w:p>
    <w:p w14:paraId="4480EB58">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3D087653">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w:t>
      </w:r>
      <w:r>
        <w:rPr>
          <w:rFonts w:hint="eastAsia" w:ascii="仿宋_GB2312" w:eastAsia="仿宋_GB2312"/>
          <w:sz w:val="32"/>
          <w:szCs w:val="32"/>
          <w:lang w:val="en-US" w:eastAsia="zh-CN"/>
        </w:rPr>
        <w:t>.</w:t>
      </w:r>
      <w:r>
        <w:rPr>
          <w:rFonts w:ascii="仿宋_GB2312" w:eastAsia="仿宋_GB2312"/>
          <w:sz w:val="32"/>
          <w:szCs w:val="32"/>
          <w:lang w:eastAsia="zh-CN"/>
        </w:rPr>
        <w:t>社会保障和就业支出（类）人力资源和社会保障管理事务（款）其他人力资源和社会保障管理事务支出（项）：支出决算数为20.00万元，比上年决算增加20.00万元，增长100.00%，主要原因是：按照工作要求，年中</w:t>
      </w:r>
      <w:r>
        <w:rPr>
          <w:rFonts w:hint="eastAsia" w:ascii="仿宋_GB2312" w:eastAsia="仿宋_GB2312"/>
          <w:sz w:val="32"/>
          <w:szCs w:val="32"/>
          <w:lang w:eastAsia="zh-CN"/>
        </w:rPr>
        <w:t>增加</w:t>
      </w:r>
      <w:r>
        <w:rPr>
          <w:rFonts w:ascii="仿宋_GB2312" w:eastAsia="仿宋_GB2312"/>
          <w:sz w:val="32"/>
          <w:szCs w:val="32"/>
          <w:lang w:eastAsia="zh-CN"/>
        </w:rPr>
        <w:t>新疆人才发展基金2025年度第二轮支持资金—智力援疆创新拓展人才计划经费。</w:t>
      </w:r>
    </w:p>
    <w:p w14:paraId="62830C9F">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w:t>
      </w:r>
      <w:r>
        <w:rPr>
          <w:rFonts w:hint="eastAsia" w:ascii="仿宋_GB2312" w:eastAsia="仿宋_GB2312"/>
          <w:sz w:val="32"/>
          <w:szCs w:val="32"/>
          <w:lang w:val="en-US" w:eastAsia="zh-CN"/>
        </w:rPr>
        <w:t>.</w:t>
      </w:r>
      <w:r>
        <w:rPr>
          <w:rFonts w:ascii="仿宋_GB2312" w:eastAsia="仿宋_GB2312"/>
          <w:sz w:val="32"/>
          <w:szCs w:val="32"/>
          <w:lang w:eastAsia="zh-CN"/>
        </w:rPr>
        <w:t>社会保障和就业支出（类）行政事业单位养老支出（款）机关事业单位基本养老保险缴费支出（项）：支出决算数为22.98万元，比上年决算减少0.16万元，下降0.69%，主要原因是：中心调出1名高级工程师，2025年相应基本养老经费较2024年有所减少。</w:t>
      </w:r>
    </w:p>
    <w:p w14:paraId="22C89652">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w:t>
      </w:r>
      <w:r>
        <w:rPr>
          <w:rFonts w:hint="eastAsia" w:ascii="仿宋_GB2312" w:eastAsia="仿宋_GB2312"/>
          <w:sz w:val="32"/>
          <w:szCs w:val="32"/>
          <w:lang w:val="en-US" w:eastAsia="zh-CN"/>
        </w:rPr>
        <w:t>.</w:t>
      </w:r>
      <w:r>
        <w:rPr>
          <w:rFonts w:ascii="仿宋_GB2312" w:eastAsia="仿宋_GB2312"/>
          <w:sz w:val="32"/>
          <w:szCs w:val="32"/>
          <w:lang w:eastAsia="zh-CN"/>
        </w:rPr>
        <w:t>社会保障和就业支出（类）行政事业单位养老支出（款）机关事业单位职业年金缴费支出（项）：支出决算数为11.99万元，比上年决算增加4.71万元，增长64.70%，主要原因是：2025年职业年金按要求做记实处理。</w:t>
      </w:r>
    </w:p>
    <w:p w14:paraId="46C14BDC">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4</w:t>
      </w:r>
      <w:r>
        <w:rPr>
          <w:rFonts w:hint="eastAsia" w:ascii="仿宋_GB2312" w:eastAsia="仿宋_GB2312"/>
          <w:sz w:val="32"/>
          <w:szCs w:val="32"/>
          <w:lang w:val="en-US" w:eastAsia="zh-CN"/>
        </w:rPr>
        <w:t>.</w:t>
      </w:r>
      <w:r>
        <w:rPr>
          <w:rFonts w:ascii="仿宋_GB2312" w:eastAsia="仿宋_GB2312"/>
          <w:sz w:val="32"/>
          <w:szCs w:val="32"/>
          <w:lang w:eastAsia="zh-CN"/>
        </w:rPr>
        <w:t>卫生健康支出（类）行政事业单位医疗（款）事业单位医疗（项）：支出决算数为12.66万元，比上年决算增加0.66万元，增长5.50%，主要原因是：按新财资环[2025]030号文件要求，年中</w:t>
      </w:r>
      <w:r>
        <w:rPr>
          <w:rFonts w:hint="eastAsia" w:ascii="仿宋_GB2312" w:eastAsia="仿宋_GB2312"/>
          <w:sz w:val="32"/>
          <w:szCs w:val="32"/>
          <w:lang w:eastAsia="zh-CN"/>
        </w:rPr>
        <w:t>增加</w:t>
      </w:r>
      <w:r>
        <w:rPr>
          <w:rFonts w:ascii="仿宋_GB2312" w:eastAsia="仿宋_GB2312"/>
          <w:sz w:val="32"/>
          <w:szCs w:val="32"/>
          <w:lang w:eastAsia="zh-CN"/>
        </w:rPr>
        <w:t>职工医疗保险经费。</w:t>
      </w:r>
    </w:p>
    <w:p w14:paraId="52EC2837">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5</w:t>
      </w:r>
      <w:r>
        <w:rPr>
          <w:rFonts w:hint="eastAsia" w:ascii="仿宋_GB2312" w:eastAsia="仿宋_GB2312"/>
          <w:sz w:val="32"/>
          <w:szCs w:val="32"/>
          <w:lang w:val="en-US" w:eastAsia="zh-CN"/>
        </w:rPr>
        <w:t>.</w:t>
      </w:r>
      <w:r>
        <w:rPr>
          <w:rFonts w:ascii="仿宋_GB2312" w:eastAsia="仿宋_GB2312"/>
          <w:sz w:val="32"/>
          <w:szCs w:val="32"/>
          <w:lang w:eastAsia="zh-CN"/>
        </w:rPr>
        <w:t>卫生健康支出（类）行政事业单位医疗（款）公务员医疗补助（项）：支出决算数为10.06万元，比上年决算减少0.06万元，下降0.59%，主要原因是：中心调出1名高级工程师，2025年相应公务员医疗补助经费较2024年有所减少。</w:t>
      </w:r>
    </w:p>
    <w:p w14:paraId="1B1C8F00">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6</w:t>
      </w:r>
      <w:r>
        <w:rPr>
          <w:rFonts w:hint="eastAsia" w:ascii="仿宋_GB2312" w:eastAsia="仿宋_GB2312"/>
          <w:sz w:val="32"/>
          <w:szCs w:val="32"/>
          <w:lang w:val="en-US" w:eastAsia="zh-CN"/>
        </w:rPr>
        <w:t>.</w:t>
      </w:r>
      <w:r>
        <w:rPr>
          <w:rFonts w:ascii="仿宋_GB2312" w:eastAsia="仿宋_GB2312"/>
          <w:sz w:val="32"/>
          <w:szCs w:val="32"/>
          <w:lang w:eastAsia="zh-CN"/>
        </w:rPr>
        <w:t>自然资源海洋气象等支出（类）自然资源事务（款）自然资源规划及管理（项）：支出决算数为1,119.47万元，比上年决算减少40.53万元，下降3.49%，主要原因是：</w:t>
      </w:r>
      <w:r>
        <w:rPr>
          <w:rFonts w:hint="eastAsia" w:ascii="仿宋" w:hAnsi="仿宋" w:eastAsia="仿宋"/>
          <w:color w:val="auto"/>
          <w:sz w:val="32"/>
          <w:szCs w:val="32"/>
        </w:rPr>
        <w:t>财政预算项目经费减少</w:t>
      </w:r>
      <w:r>
        <w:rPr>
          <w:rFonts w:ascii="仿宋_GB2312" w:eastAsia="仿宋_GB2312"/>
          <w:sz w:val="32"/>
          <w:szCs w:val="32"/>
          <w:highlight w:val="none"/>
          <w:lang w:eastAsia="zh-CN"/>
        </w:rPr>
        <w:t>。</w:t>
      </w:r>
    </w:p>
    <w:p w14:paraId="75A8C63C">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7</w:t>
      </w:r>
      <w:r>
        <w:rPr>
          <w:rFonts w:hint="eastAsia" w:ascii="仿宋_GB2312" w:eastAsia="仿宋_GB2312"/>
          <w:sz w:val="32"/>
          <w:szCs w:val="32"/>
          <w:lang w:val="en-US" w:eastAsia="zh-CN"/>
        </w:rPr>
        <w:t>.</w:t>
      </w:r>
      <w:r>
        <w:rPr>
          <w:rFonts w:ascii="仿宋_GB2312" w:eastAsia="仿宋_GB2312"/>
          <w:sz w:val="32"/>
          <w:szCs w:val="32"/>
          <w:lang w:eastAsia="zh-CN"/>
        </w:rPr>
        <w:t>自然资源海洋气象等支出（类）自然资源事务（款）基础测绘与地理信息监管（项）：支出决算数为4.37万元，比上年决算增加4.37万元，增长100.00%，主要原因是：按照厅机关要求，新增</w:t>
      </w:r>
      <w:r>
        <w:rPr>
          <w:rFonts w:hint="eastAsia" w:ascii="仿宋_GB2312" w:eastAsia="仿宋_GB2312"/>
          <w:sz w:val="32"/>
          <w:szCs w:val="32"/>
          <w:lang w:eastAsia="zh-CN"/>
        </w:rPr>
        <w:t>新疆自然资源领域单北斗替代项目</w:t>
      </w:r>
      <w:r>
        <w:rPr>
          <w:rFonts w:ascii="仿宋_GB2312" w:eastAsia="仿宋_GB2312"/>
          <w:sz w:val="32"/>
          <w:szCs w:val="32"/>
          <w:lang w:eastAsia="zh-CN"/>
        </w:rPr>
        <w:t>。</w:t>
      </w:r>
    </w:p>
    <w:p w14:paraId="6838DB45">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8</w:t>
      </w:r>
      <w:r>
        <w:rPr>
          <w:rFonts w:hint="eastAsia" w:ascii="仿宋_GB2312" w:eastAsia="仿宋_GB2312"/>
          <w:sz w:val="32"/>
          <w:szCs w:val="32"/>
          <w:lang w:val="en-US" w:eastAsia="zh-CN"/>
        </w:rPr>
        <w:t>.</w:t>
      </w:r>
      <w:r>
        <w:rPr>
          <w:rFonts w:ascii="仿宋_GB2312" w:eastAsia="仿宋_GB2312"/>
          <w:sz w:val="32"/>
          <w:szCs w:val="32"/>
          <w:lang w:eastAsia="zh-CN"/>
        </w:rPr>
        <w:t>自然资源海洋气象等支出（类）自然资源事务（款）事业运行（项）：支出决算数为181.57万元，比上年决算减少5.43万元，下降2.90%，主要原因是：中心调出1名高级工程师，2025年相应运行经费较2024年有所减少。</w:t>
      </w:r>
    </w:p>
    <w:p w14:paraId="0C5A36DF">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9</w:t>
      </w:r>
      <w:r>
        <w:rPr>
          <w:rFonts w:hint="eastAsia" w:ascii="仿宋_GB2312" w:eastAsia="仿宋_GB2312"/>
          <w:sz w:val="32"/>
          <w:szCs w:val="32"/>
          <w:lang w:val="en-US" w:eastAsia="zh-CN"/>
        </w:rPr>
        <w:t>.</w:t>
      </w:r>
      <w:r>
        <w:rPr>
          <w:rFonts w:ascii="仿宋_GB2312" w:eastAsia="仿宋_GB2312"/>
          <w:sz w:val="32"/>
          <w:szCs w:val="32"/>
          <w:lang w:eastAsia="zh-CN"/>
        </w:rPr>
        <w:t>住房保障支出（类）住房改革支出（款）住房公积金（项）：支出决算数为17.24万元，比上年决算减少0.11万元，下降0.63%，主要原因是：中心调出1名高级工程师，2025年相应住房公积金较2024年有所减少。</w:t>
      </w:r>
    </w:p>
    <w:p w14:paraId="3D9CB552">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253BB1A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一般公共预算财政拨款基本支出256.49万元，其中：人员经费244.19万元，包括：基本工资、津贴补贴、奖金、绩效工资、机关事业单位基本养老保险缴费、职业年金缴费、职工基本医疗保险缴费、公务员医疗补助缴费、其他社会保障缴费、住房公积金和其他工资福利支出。</w:t>
      </w:r>
    </w:p>
    <w:p w14:paraId="64853A0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公用经费12.30万元，包括：办公费、手续费、电费、邮电费、差旅费、工会经费、福利费、公务用车运行维护费、其他交通费用和其他商品和服务支出。</w:t>
      </w:r>
    </w:p>
    <w:p w14:paraId="35D4A9D7">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3B72F3A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4763E40D">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325018F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C54D7DB">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074849B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2025年度财政拨款“三公”经费支出0.95万元，比上年增加0.95万元，增长100</w:t>
      </w:r>
      <w:r>
        <w:rPr>
          <w:rFonts w:hint="eastAsia" w:ascii="仿宋_GB2312" w:eastAsia="仿宋_GB2312"/>
          <w:sz w:val="32"/>
          <w:szCs w:val="32"/>
          <w:lang w:val="en-US" w:eastAsia="zh-CN"/>
        </w:rPr>
        <w:t>.00</w:t>
      </w:r>
      <w:r>
        <w:rPr>
          <w:rFonts w:ascii="仿宋_GB2312" w:eastAsia="仿宋_GB2312"/>
          <w:sz w:val="32"/>
          <w:szCs w:val="32"/>
          <w:lang w:eastAsia="zh-CN"/>
        </w:rPr>
        <w:t>%，主要原因是：我单位有1辆公务用车，2024年度未上报车辆运行维护费，2025年度按要求上报公车运行维护费。其中：因公出国（境）费用支出0.00万元,占0.00%，比上年增加0.00万元，增长0.00%，主要原因是：我单位</w:t>
      </w:r>
      <w:r>
        <w:rPr>
          <w:rFonts w:hint="eastAsia" w:ascii="仿宋_GB2312" w:eastAsia="仿宋_GB2312"/>
          <w:sz w:val="32"/>
          <w:szCs w:val="32"/>
          <w:lang w:val="en-US" w:eastAsia="zh-CN"/>
        </w:rPr>
        <w:t>2024年与</w:t>
      </w:r>
      <w:r>
        <w:rPr>
          <w:rFonts w:ascii="仿宋_GB2312" w:eastAsia="仿宋_GB2312"/>
          <w:sz w:val="32"/>
          <w:szCs w:val="32"/>
          <w:lang w:eastAsia="zh-CN"/>
        </w:rPr>
        <w:t>2025年</w:t>
      </w:r>
      <w:r>
        <w:rPr>
          <w:rFonts w:hint="eastAsia" w:ascii="仿宋_GB2312" w:eastAsia="仿宋_GB2312"/>
          <w:sz w:val="32"/>
          <w:szCs w:val="32"/>
          <w:lang w:eastAsia="zh-CN"/>
        </w:rPr>
        <w:t>均</w:t>
      </w:r>
      <w:r>
        <w:rPr>
          <w:rFonts w:ascii="仿宋_GB2312" w:eastAsia="仿宋_GB2312"/>
          <w:sz w:val="32"/>
          <w:szCs w:val="32"/>
          <w:lang w:eastAsia="zh-CN"/>
        </w:rPr>
        <w:t>无因公出国（境）费用；公务用车购置及运行维护费支出0.95万元，占100.00%，比上年增加0.95万元，增长100</w:t>
      </w:r>
      <w:r>
        <w:rPr>
          <w:rFonts w:hint="eastAsia" w:ascii="仿宋_GB2312" w:eastAsia="仿宋_GB2312"/>
          <w:sz w:val="32"/>
          <w:szCs w:val="32"/>
          <w:lang w:val="en-US" w:eastAsia="zh-CN"/>
        </w:rPr>
        <w:t>.00</w:t>
      </w:r>
      <w:r>
        <w:rPr>
          <w:rFonts w:ascii="仿宋_GB2312" w:eastAsia="仿宋_GB2312"/>
          <w:sz w:val="32"/>
          <w:szCs w:val="32"/>
          <w:lang w:eastAsia="zh-CN"/>
        </w:rPr>
        <w:t>%，主要原因是：我单位有1辆公务用车，2024年度未上报车辆运行维护费，2025年度按要求上报公车运行维护费；公务接待费支出0.00万元，占0.00%，比上年增加0.00万元，增长0.00%，主要原因是：我单位</w:t>
      </w:r>
      <w:r>
        <w:rPr>
          <w:rFonts w:hint="eastAsia" w:ascii="仿宋_GB2312" w:eastAsia="仿宋_GB2312"/>
          <w:sz w:val="32"/>
          <w:szCs w:val="32"/>
          <w:lang w:val="en-US" w:eastAsia="zh-CN"/>
        </w:rPr>
        <w:t>2024年与</w:t>
      </w:r>
      <w:r>
        <w:rPr>
          <w:rFonts w:ascii="仿宋_GB2312" w:eastAsia="仿宋_GB2312"/>
          <w:sz w:val="32"/>
          <w:szCs w:val="32"/>
          <w:lang w:eastAsia="zh-CN"/>
        </w:rPr>
        <w:t>2025年</w:t>
      </w:r>
      <w:r>
        <w:rPr>
          <w:rFonts w:hint="eastAsia" w:ascii="仿宋_GB2312" w:eastAsia="仿宋_GB2312"/>
          <w:sz w:val="32"/>
          <w:szCs w:val="32"/>
          <w:lang w:eastAsia="zh-CN"/>
        </w:rPr>
        <w:t>均</w:t>
      </w:r>
      <w:r>
        <w:rPr>
          <w:rFonts w:ascii="仿宋_GB2312" w:eastAsia="仿宋_GB2312"/>
          <w:sz w:val="32"/>
          <w:szCs w:val="32"/>
          <w:lang w:eastAsia="zh-CN"/>
        </w:rPr>
        <w:t>无公务接待费用。</w:t>
      </w:r>
    </w:p>
    <w:p w14:paraId="31DF6F10">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60855D8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因公出国（境）费用0.00万元，开支内容包括我单位2025年度无因公出国（境）费用。单位全年安排的因公出国（境）团组0个，因公出国（境）0人次。</w:t>
      </w:r>
    </w:p>
    <w:p w14:paraId="017695B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0.95万元，其中：公务用车购置费0.00万元，公务用车运行维护费0.95万元。公务用车运行维护费开支内容包括车辆检验费、停车费、车辆加油费及车辆维护费。公务用车购置数0辆，公务用车保有量1辆。国有资产占用情况中固定资产车辆1辆，与公务用车保有量差异原因是：固定资产车辆</w:t>
      </w:r>
      <w:r>
        <w:rPr>
          <w:rFonts w:hint="eastAsia" w:ascii="仿宋_GB2312" w:eastAsia="仿宋_GB2312"/>
          <w:sz w:val="32"/>
          <w:szCs w:val="32"/>
          <w:lang w:eastAsia="zh-CN"/>
        </w:rPr>
        <w:t>与</w:t>
      </w:r>
      <w:r>
        <w:rPr>
          <w:rFonts w:ascii="仿宋_GB2312" w:eastAsia="仿宋_GB2312"/>
          <w:sz w:val="32"/>
          <w:szCs w:val="32"/>
          <w:lang w:eastAsia="zh-CN"/>
        </w:rPr>
        <w:t>公务用车保有量</w:t>
      </w:r>
      <w:r>
        <w:rPr>
          <w:rFonts w:hint="eastAsia" w:ascii="仿宋_GB2312" w:eastAsia="仿宋_GB2312"/>
          <w:sz w:val="32"/>
          <w:szCs w:val="32"/>
          <w:lang w:eastAsia="zh-CN"/>
        </w:rPr>
        <w:t>无差异</w:t>
      </w:r>
      <w:r>
        <w:rPr>
          <w:rFonts w:ascii="仿宋_GB2312" w:eastAsia="仿宋_GB2312"/>
          <w:sz w:val="32"/>
          <w:szCs w:val="32"/>
          <w:lang w:eastAsia="zh-CN"/>
        </w:rPr>
        <w:t>。</w:t>
      </w:r>
    </w:p>
    <w:p w14:paraId="5163A37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公务接待费0.00万元，开支内容包括我单位2025年度无公务接待费用。单位全年安排的国内公务接待0批次，0人次。</w:t>
      </w:r>
    </w:p>
    <w:p w14:paraId="29138A2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0.95万元，决算数0.95万元，预决算差异率0.00%，主要原因是：严格按照预算执行，预决算无差异。其中：因公出国（境）费用全年预算数0.00万元，决算数0.00万元，预决算差异率0.00%，主要原因是：我单位2025年度无因公出国（境）费用；公务用车购置费全年预算数0.00万元，决算数0.00万元，预决算差异率0.00%，主要原因是：我单位2025年度无公务用车购置费用；公务用车运行维护费全年预算数0.95万元，决算数0.95万元，预决算差异率0.00%，主要原因是：严格按照预算执行，预决算无差异；公务接待费全年预算数0.00万元，决算数0.00万元，预决算差异率0.00%，主要原因是：我单位2025年度无公务接待费用。</w:t>
      </w:r>
    </w:p>
    <w:p w14:paraId="262C2D5C">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4291F34D">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33097AE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2025年度新疆维吾尔自治区国土空间规划研究中心（事业单位）公用经费支出12.30万元，比上年减少1.04万元，下降7.80%，主要原因是：</w:t>
      </w:r>
      <w:r>
        <w:rPr>
          <w:rFonts w:hint="eastAsia" w:ascii="仿宋_GB2312" w:eastAsia="仿宋_GB2312"/>
          <w:sz w:val="32"/>
          <w:szCs w:val="32"/>
          <w:lang w:eastAsia="zh-CN"/>
        </w:rPr>
        <w:t>厉行节约，压减培训费支出</w:t>
      </w:r>
      <w:r>
        <w:rPr>
          <w:rFonts w:ascii="仿宋_GB2312" w:eastAsia="仿宋_GB2312"/>
          <w:sz w:val="32"/>
          <w:szCs w:val="32"/>
          <w:lang w:eastAsia="zh-CN"/>
        </w:rPr>
        <w:t>。</w:t>
      </w:r>
    </w:p>
    <w:p w14:paraId="046A97CC">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（二）政府采购情况</w:t>
      </w:r>
    </w:p>
    <w:p w14:paraId="3D28E43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2025年度政府采购支出总额828.35万元，其中：政府采购货物支出3.70万元、政府采购工程支出0.00万元、政府采购服务支出824.65万元。</w:t>
      </w:r>
    </w:p>
    <w:p w14:paraId="0A48625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授予中小企业合同金额331.60万元，占政府采购支出总额的40.03%，其中：授予小微企业合同金额40.78万元，占政府采购支出总额的4.92%。</w:t>
      </w:r>
    </w:p>
    <w:p w14:paraId="6FADA3B8">
      <w:pPr>
        <w:spacing w:after="0" w:line="240" w:lineRule="auto"/>
        <w:ind w:firstLine="640" w:firstLineChars="200"/>
        <w:outlineLvl w:val="2"/>
        <w:rPr>
          <w:rFonts w:ascii="黑体" w:eastAsia="黑体"/>
          <w:sz w:val="32"/>
          <w:szCs w:val="32"/>
          <w:lang w:eastAsia="zh-CN"/>
        </w:rPr>
      </w:pPr>
      <w:r>
        <w:rPr>
          <w:rFonts w:ascii="黑体" w:eastAsia="黑体"/>
          <w:sz w:val="32"/>
          <w:szCs w:val="32"/>
          <w:lang w:eastAsia="zh-CN"/>
        </w:rPr>
        <w:t>（三）国有资产占用情况说明</w:t>
      </w:r>
    </w:p>
    <w:p w14:paraId="5E3E631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截至2025年12月31日，房屋0.00平方米，价值0.00万元。</w:t>
      </w:r>
      <w:r>
        <w:rPr>
          <w:rFonts w:ascii="仿宋_GB2312" w:eastAsia="仿宋_GB2312"/>
          <w:sz w:val="32"/>
          <w:szCs w:val="32"/>
          <w:lang w:eastAsia="zh-CN"/>
        </w:rPr>
        <w:t>车辆1辆，价值21.48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sz w:val="32"/>
          <w:szCs w:val="32"/>
          <w:lang w:eastAsia="zh-CN"/>
        </w:rPr>
        <w:t>一般公务用车；</w:t>
      </w:r>
      <w:r>
        <w:rPr>
          <w:rFonts w:ascii="仿宋_GB2312" w:eastAsia="仿宋_GB2312"/>
          <w:sz w:val="32"/>
          <w:szCs w:val="32"/>
          <w:lang w:eastAsia="zh-CN"/>
        </w:rPr>
        <w:t>单价100万元（含）以上设备（不含车辆）0台（套）。</w:t>
      </w:r>
    </w:p>
    <w:p w14:paraId="2210B70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2E6E21E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根据预算绩效管理要求，本单位2025年度预算绩效评价项目1个，全年预算数1,160.00万元，全年执行数1,119.47万元。预算绩效管理取得的成效：一是建立健全预算管理制度，</w:t>
      </w:r>
      <w:bookmarkStart w:id="0" w:name="_GoBack"/>
      <w:r>
        <w:rPr>
          <w:rFonts w:ascii="仿宋_GB2312" w:eastAsia="仿宋_GB2312"/>
          <w:sz w:val="32"/>
          <w:szCs w:val="32"/>
          <w:lang w:eastAsia="zh-CN"/>
        </w:rPr>
        <w:t>强化</w:t>
      </w:r>
      <w:bookmarkEnd w:id="0"/>
      <w:r>
        <w:rPr>
          <w:rFonts w:ascii="仿宋_GB2312" w:eastAsia="仿宋_GB2312"/>
          <w:sz w:val="32"/>
          <w:szCs w:val="32"/>
          <w:lang w:eastAsia="zh-CN"/>
        </w:rPr>
        <w:t>预算编制的科学性和前瞻性，将绩效管理贯穿预算全过程，严格控制经费使用，确保资金使用效益最大化。二是加大对各项制度的宣传和培训力度，提高员工对制度的理解和执行能力，建立监督机制，确保制度有效执行，杜绝违规行为。发现的问题及原因：对绩效目标的重要性认识不够深入，缺乏对规划实施风险的充分评估和应对措施，导致绩效目标合理性存在缺陷。主要原因是绩效目标制定过程中，缺乏多部门协同和专业咨询，对项目实施的复杂性认识不足。下一步改进措施：强化绩效目标制定的科学性，组织多部门和专家参与，充分考虑规划实施过程中的风险和不确定性，制定合理、可衡量、具有挑战性的绩效目标。建立绩效目标动态调整机制，根据项目实施情况和外部环境变化，及时调整绩效目标，确保目标的有效性和可实现性。具体附项目支出绩效自评表</w:t>
      </w:r>
      <w:r>
        <w:rPr>
          <w:rFonts w:hint="eastAsia" w:ascii="仿宋_GB2312" w:hAnsi="仿宋_GB2312" w:eastAsia="仿宋_GB2312" w:cs="仿宋_GB2312"/>
          <w:b w:val="0"/>
          <w:bCs w:val="0"/>
          <w:color w:val="000000"/>
          <w:kern w:val="0"/>
          <w:sz w:val="32"/>
          <w:szCs w:val="32"/>
          <w:highlight w:val="none"/>
          <w:lang w:val="en-US" w:eastAsia="zh-CN" w:bidi="ar"/>
        </w:rPr>
        <w:t>及项目支出绩效评价报告</w:t>
      </w:r>
      <w:r>
        <w:rPr>
          <w:rFonts w:ascii="仿宋_GB2312" w:eastAsia="仿宋_GB2312"/>
          <w:sz w:val="32"/>
          <w:szCs w:val="32"/>
          <w:lang w:eastAsia="zh-CN"/>
        </w:rPr>
        <w:t>。</w:t>
      </w:r>
    </w:p>
    <w:p w14:paraId="259C2E99">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2F0D160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本单位无其他需说明的事项。</w:t>
      </w:r>
    </w:p>
    <w:p w14:paraId="336824B9">
      <w:pPr>
        <w:rPr>
          <w:lang w:eastAsia="zh-CN"/>
        </w:rPr>
      </w:pPr>
    </w:p>
    <w:p w14:paraId="4437A7EE">
      <w:pPr>
        <w:rPr>
          <w:lang w:eastAsia="zh-CN"/>
        </w:rPr>
      </w:pPr>
    </w:p>
    <w:p w14:paraId="6FABF065">
      <w:pPr>
        <w:rPr>
          <w:lang w:eastAsia="zh-CN"/>
        </w:rPr>
      </w:pPr>
    </w:p>
    <w:p w14:paraId="35570D78">
      <w:pPr>
        <w:rPr>
          <w:lang w:eastAsia="zh-CN"/>
        </w:rPr>
      </w:pPr>
    </w:p>
    <w:p w14:paraId="7A04736F">
      <w:pPr>
        <w:rPr>
          <w:lang w:eastAsia="zh-CN"/>
        </w:rPr>
      </w:pPr>
    </w:p>
    <w:p w14:paraId="282511B1">
      <w:pPr>
        <w:rPr>
          <w:lang w:eastAsia="zh-CN"/>
        </w:rPr>
      </w:pPr>
    </w:p>
    <w:p w14:paraId="5568A7A7">
      <w:pPr>
        <w:rPr>
          <w:lang w:eastAsia="zh-CN"/>
        </w:rPr>
      </w:pPr>
    </w:p>
    <w:p w14:paraId="7939DF06">
      <w:pPr>
        <w:rPr>
          <w:lang w:eastAsia="zh-CN"/>
        </w:rPr>
      </w:pPr>
    </w:p>
    <w:p w14:paraId="494B31CB">
      <w:pPr>
        <w:rPr>
          <w:lang w:eastAsia="zh-CN"/>
        </w:rPr>
      </w:pPr>
    </w:p>
    <w:p w14:paraId="349C7C8F">
      <w:pPr>
        <w:rPr>
          <w:lang w:eastAsia="zh-CN"/>
        </w:rPr>
      </w:pPr>
    </w:p>
    <w:p w14:paraId="707A66E2">
      <w:pPr>
        <w:rPr>
          <w:lang w:eastAsia="zh-CN"/>
        </w:rPr>
      </w:pPr>
    </w:p>
    <w:p w14:paraId="51CAFF73">
      <w:pPr>
        <w:rPr>
          <w:lang w:eastAsia="zh-CN"/>
        </w:rPr>
      </w:pPr>
    </w:p>
    <w:p w14:paraId="6A2C933C">
      <w:pPr>
        <w:rPr>
          <w:lang w:eastAsia="zh-CN"/>
        </w:rPr>
      </w:pPr>
    </w:p>
    <w:p w14:paraId="3FC3F392">
      <w:pPr>
        <w:rPr>
          <w:lang w:eastAsia="zh-CN"/>
        </w:rPr>
      </w:pPr>
    </w:p>
    <w:p w14:paraId="58315DCB">
      <w:pPr>
        <w:rPr>
          <w:lang w:eastAsia="zh-CN"/>
        </w:rPr>
      </w:pPr>
    </w:p>
    <w:p w14:paraId="1BFBD684">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14:paraId="39B1418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指单位本年度从同级财政部门取得的财政拨款，包括一般公共预算财政拨款、政府性基金预算财政拨款和国有资本经营预算财政拨款。</w:t>
      </w:r>
    </w:p>
    <w:p w14:paraId="3F32BAF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FC41AB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指事业单位开展专业业务活动及其辅助活动取得的收入。</w:t>
      </w:r>
    </w:p>
    <w:p w14:paraId="62AA6A0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BC2358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指事业单位附属独立核算单位按照有关规定上缴的收入。</w:t>
      </w:r>
    </w:p>
    <w:p w14:paraId="7D5510B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指单位取得的除上述“财政拨款收入”“上级补助收入”“事业收入”“经营收入”“附属单位上缴收入”以外的各项收入。</w:t>
      </w:r>
    </w:p>
    <w:p w14:paraId="42D206FB">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指单位上年结转本年使用的基本支出结转、项目支出结转和结余、经营结余。</w:t>
      </w:r>
    </w:p>
    <w:p w14:paraId="7D27B3B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八、使用非财政拨款结余（含专用结余）：</w:t>
      </w:r>
      <w:r>
        <w:rPr>
          <w:rFonts w:ascii="仿宋_GB2312" w:eastAsia="仿宋_GB2312"/>
          <w:sz w:val="32"/>
          <w:szCs w:val="32"/>
          <w:lang w:eastAsia="zh-CN"/>
        </w:rPr>
        <w:t>指单位按照预算管理要求使用非财政拨款结余弥补收支差额的金额，以及使用专用结余安排支出的金额。</w:t>
      </w:r>
    </w:p>
    <w:p w14:paraId="49B523D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九、结余分配</w:t>
      </w:r>
      <w:r>
        <w:rPr>
          <w:rFonts w:ascii="仿宋_GB2312" w:eastAsia="仿宋_GB2312"/>
          <w:sz w:val="32"/>
          <w:szCs w:val="32"/>
          <w:lang w:eastAsia="zh-CN"/>
        </w:rPr>
        <w:t>：指单位缴纳企业所得税以及从非财政拨款结余或经营结余中提取各类结余的情况。</w:t>
      </w:r>
    </w:p>
    <w:p w14:paraId="20CE68F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十、年末结转和结余</w:t>
      </w:r>
      <w:r>
        <w:rPr>
          <w:rFonts w:ascii="仿宋_GB2312" w:eastAsia="仿宋_GB2312"/>
          <w:sz w:val="32"/>
          <w:szCs w:val="32"/>
          <w:lang w:eastAsia="zh-CN"/>
        </w:rPr>
        <w:t>：指单位结转下年的基本支出结转、项目支出结转和结余、经营结余。</w:t>
      </w:r>
    </w:p>
    <w:p w14:paraId="0AC97BA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十一、基本支出</w:t>
      </w:r>
      <w:r>
        <w:rPr>
          <w:rFonts w:ascii="仿宋_GB2312" w:eastAsia="仿宋_GB2312"/>
          <w:sz w:val="32"/>
          <w:szCs w:val="32"/>
          <w:lang w:eastAsia="zh-CN"/>
        </w:rPr>
        <w:t>：指单位为保障机构正常运转、完成日常工作任务而发生的各项支出。</w:t>
      </w:r>
    </w:p>
    <w:p w14:paraId="676999C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十二、项目支出：</w:t>
      </w:r>
      <w:r>
        <w:rPr>
          <w:rFonts w:ascii="仿宋_GB2312" w:eastAsia="仿宋_GB2312"/>
          <w:sz w:val="32"/>
          <w:szCs w:val="32"/>
          <w:lang w:eastAsia="zh-CN"/>
        </w:rPr>
        <w:t>指单位为完成特定的行政工作任务或事业发展目标，在基本支出之外发生的各项支出。</w:t>
      </w:r>
    </w:p>
    <w:p w14:paraId="701BBC21">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十三、上缴上级支出：</w:t>
      </w:r>
      <w:r>
        <w:rPr>
          <w:rFonts w:ascii="仿宋_GB2312" w:eastAsia="仿宋_GB2312"/>
          <w:sz w:val="32"/>
          <w:szCs w:val="32"/>
          <w:lang w:eastAsia="zh-CN"/>
        </w:rPr>
        <w:t>指事业单位按照财政部门和主管部门的规定上缴上级单位的支出。</w:t>
      </w:r>
    </w:p>
    <w:p w14:paraId="72F5D4B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十四、经营支出：</w:t>
      </w:r>
      <w:r>
        <w:rPr>
          <w:rFonts w:ascii="仿宋_GB2312" w:eastAsia="仿宋_GB2312"/>
          <w:sz w:val="32"/>
          <w:szCs w:val="32"/>
          <w:lang w:eastAsia="zh-CN"/>
        </w:rPr>
        <w:t>指事业单位在专业活动及辅助活动之外开展非独立核算经营活动发生的支出。</w:t>
      </w:r>
    </w:p>
    <w:p w14:paraId="466F311A">
      <w:pPr>
        <w:spacing w:after="0" w:line="240" w:lineRule="auto"/>
        <w:ind w:firstLine="643" w:firstLineChars="200"/>
        <w:rPr>
          <w:rFonts w:ascii="宋体" w:eastAsia="仿宋_GB2312"/>
          <w:sz w:val="32"/>
          <w:szCs w:val="32"/>
          <w:lang w:eastAsia="zh-CN"/>
        </w:rPr>
      </w:pPr>
      <w:r>
        <w:rPr>
          <w:rFonts w:ascii="宋体" w:eastAsia="仿宋_GB2312"/>
          <w:b/>
          <w:sz w:val="32"/>
          <w:szCs w:val="32"/>
          <w:lang w:eastAsia="zh-CN"/>
        </w:rPr>
        <w:t>十五、对附属单位补助支出：</w:t>
      </w:r>
      <w:r>
        <w:rPr>
          <w:rFonts w:ascii="宋体" w:eastAsia="仿宋_GB2312"/>
          <w:sz w:val="32"/>
          <w:szCs w:val="32"/>
          <w:lang w:eastAsia="zh-CN"/>
        </w:rPr>
        <w:t>指事业单位用财政补助收入之外的收入对附属单位补助发生的支出。</w:t>
      </w:r>
    </w:p>
    <w:p w14:paraId="65A4D50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十六、“三公”经费：</w:t>
      </w:r>
      <w:r>
        <w:rPr>
          <w:rFonts w:ascii="仿宋_GB2312" w:eastAsia="仿宋_GB2312"/>
          <w:sz w:val="32"/>
          <w:szCs w:val="32"/>
          <w:lang w:eastAsia="zh-CN"/>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1ABC372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十七、机关运行经费：</w:t>
      </w:r>
      <w:r>
        <w:rPr>
          <w:rFonts w:ascii="仿宋_GB2312" w:eastAsia="仿宋_GB2312"/>
          <w:sz w:val="32"/>
          <w:szCs w:val="32"/>
          <w:lang w:eastAsia="zh-CN"/>
        </w:rPr>
        <w:t>指行政单位和参照公务员法管理的事业单位财政拨款基本支出中的公用经费支出。</w:t>
      </w:r>
    </w:p>
    <w:p w14:paraId="088A066F">
      <w:pPr>
        <w:rPr>
          <w:lang w:eastAsia="zh-CN"/>
        </w:rPr>
      </w:pPr>
      <w:r>
        <w:rPr>
          <w:sz w:val="0"/>
          <w:szCs w:val="0"/>
          <w:lang w:eastAsia="zh-CN"/>
        </w:rPr>
        <w:br w:type="page"/>
      </w:r>
    </w:p>
    <w:p w14:paraId="1DE95B03">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10063A0C">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7B5DA1FC">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4654694D">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65DBBC5E">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69A10B8">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0336203">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0DB58E0">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787AF47">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90EC17B">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7F9B361-4935-4CF0-806D-894D8683D54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0E5C2043-62B9-4C8E-92C8-73BF58E80980}"/>
  </w:font>
  <w:font w:name="楷体_GB2312">
    <w:panose1 w:val="02010609030101010101"/>
    <w:charset w:val="86"/>
    <w:family w:val="auto"/>
    <w:pitch w:val="default"/>
    <w:sig w:usb0="00000001" w:usb1="080E0000" w:usb2="00000000" w:usb3="00000000" w:csb0="00040000" w:csb1="00000000"/>
  </w:font>
  <w:font w:name="FangSong_GB2312">
    <w:altName w:val="仿宋_GB2312"/>
    <w:panose1 w:val="020B0604020202020204"/>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方正小标宋_GBK">
    <w:panose1 w:val="02000000000000000000"/>
    <w:charset w:val="86"/>
    <w:family w:val="script"/>
    <w:pitch w:val="default"/>
    <w:sig w:usb0="A00002BF" w:usb1="38CF7CFA" w:usb2="00082016" w:usb3="00000000" w:csb0="00040001" w:csb1="00000000"/>
    <w:embedRegular r:id="rId3" w:fontKey="{8E00E21A-D821-494E-9A05-831E7A47AFF3}"/>
  </w:font>
  <w:font w:name="仿宋">
    <w:panose1 w:val="02010609060101010101"/>
    <w:charset w:val="86"/>
    <w:family w:val="modern"/>
    <w:pitch w:val="default"/>
    <w:sig w:usb0="800002BF" w:usb1="38CF7CFA" w:usb2="00000016" w:usb3="00000000" w:csb0="00040001" w:csb1="00000000"/>
    <w:embedRegular r:id="rId4" w:fontKey="{254B791F-1BDE-4AC6-8672-A15B448B23E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
  <w:rsids>
    <w:rsidRoot w:val="00F95D92"/>
    <w:rsid w:val="001E2B49"/>
    <w:rsid w:val="002812FD"/>
    <w:rsid w:val="0064106F"/>
    <w:rsid w:val="00DA2536"/>
    <w:rsid w:val="00E27409"/>
    <w:rsid w:val="00F95D92"/>
    <w:rsid w:val="038C592B"/>
    <w:rsid w:val="0EC341CA"/>
    <w:rsid w:val="155913E5"/>
    <w:rsid w:val="236E2ABC"/>
    <w:rsid w:val="2F204FF5"/>
    <w:rsid w:val="39B749FB"/>
    <w:rsid w:val="60830691"/>
    <w:rsid w:val="6FE07EB8"/>
    <w:rsid w:val="79E955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页眉 Char"/>
    <w:basedOn w:val="14"/>
    <w:link w:val="9"/>
    <w:qFormat/>
    <w:uiPriority w:val="99"/>
  </w:style>
  <w:style w:type="character" w:customStyle="1" w:styleId="18">
    <w:name w:val="标题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标题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标题 3 Char"/>
    <w:basedOn w:val="14"/>
    <w:link w:val="4"/>
    <w:qFormat/>
    <w:uiPriority w:val="9"/>
    <w:rPr>
      <w:rFonts w:asciiTheme="majorHAnsi" w:hAnsiTheme="majorHAnsi" w:eastAsiaTheme="majorEastAsia" w:cstheme="majorBidi"/>
      <w:b/>
      <w:bCs/>
      <w:color w:val="4F81BD" w:themeColor="accent1"/>
    </w:rPr>
  </w:style>
  <w:style w:type="character" w:customStyle="1" w:styleId="21">
    <w:name w:val="标题 4 Char"/>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副标题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标题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4">
    <w:name w:val="页脚 Char"/>
    <w:basedOn w:val="14"/>
    <w:link w:val="8"/>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26b52d18-5679-413a-b7fa-d963dc75b220</errorID>
      <errorWord>[2025]030号</errorWord>
      <group>L1_Knowledge</group>
      <groupName>知识性问题</groupName>
      <ability>L2_Knowledge</ability>
      <abilityName>其他知识</abilityName>
      <candidateList>
        <item>〔2025〕30号</item>
      </candidateList>
      <explain>发文字号格式错误。</explain>
      <paraID>46C14BDC</paraID>
      <start>79</start>
      <end>89</end>
      <status>unmodified</status>
      <modifiedWord/>
      <trackRevisions>false</trackRevisions>
    </reviewItem>
    <reviewItem>
      <errorID>1d10cd79-7ac3-4be8-9f88-d97130e74fec</errorID>
      <errorWord>我单位</errorWord>
      <group>L1_Other</group>
      <groupName>其他问题</groupName>
      <ability>L2_UserTypo</ability>
      <abilityName>自定义错误</abilityName>
      <candidateList>
        <item>本单位</item>
      </candidateList>
      <explain>来自自定义错词库。</explain>
      <paraID> 74849B8</paraID>
      <start>53</start>
      <end>56</end>
      <status>unmodified</status>
      <modifiedWord/>
      <trackRevisions>false</trackRevisions>
    </reviewItem>
    <reviewItem>
      <errorID>86ad031a-1ccc-4163-9434-ead3762d23cc</errorID>
      <errorWord>我单位</errorWord>
      <group>L1_Other</group>
      <groupName>其他问题</groupName>
      <ability>L2_UserTypo</ability>
      <abilityName>自定义错误</abilityName>
      <candidateList>
        <item>本单位</item>
      </candidateList>
      <explain>来自自定义错词库。</explain>
      <paraID> 74849B8</paraID>
      <start>154</start>
      <end>157</end>
      <status>unmodified</status>
      <modifiedWord/>
      <trackRevisions>false</trackRevisions>
    </reviewItem>
    <reviewItem>
      <errorID>3a4e617b-382d-4f3a-a6d8-372d7b246e75</errorID>
      <errorWord>我单位</errorWord>
      <group>L1_Other</group>
      <groupName>其他问题</groupName>
      <ability>L2_UserTypo</ability>
      <abilityName>自定义错误</abilityName>
      <candidateList>
        <item>本单位</item>
      </candidateList>
      <explain>来自自定义错词库。</explain>
      <paraID> 74849B8</paraID>
      <start>238</start>
      <end>241</end>
      <status>unmodified</status>
      <modifiedWord/>
      <trackRevisions>false</trackRevisions>
    </reviewItem>
    <reviewItem>
      <errorID>7ba07eca-5835-416b-a39e-f6bfac9e1795</errorID>
      <errorWord>我单位</errorWord>
      <group>L1_Other</group>
      <groupName>其他问题</groupName>
      <ability>L2_UserTypo</ability>
      <abilityName>自定义错误</abilityName>
      <candidateList>
        <item>本单位</item>
      </candidateList>
      <explain>来自自定义错词库。</explain>
      <paraID> 74849B8</paraID>
      <start>332</start>
      <end>335</end>
      <status>unmodified</status>
      <modifiedWord/>
      <trackRevisions>false</trackRevisions>
    </reviewItem>
    <reviewItem>
      <errorID>536e0014-7830-444f-951b-78ec23078b09</errorID>
      <errorWord>我单位</errorWord>
      <group>L1_Other</group>
      <groupName>其他问题</groupName>
      <ability>L2_UserTypo</ability>
      <abilityName>自定义错误</abilityName>
      <candidateList>
        <item>本单位</item>
      </candidateList>
      <explain>来自自定义错词库。</explain>
      <paraID>60855D85</paraID>
      <start>22</start>
      <end>25</end>
      <status>unmodified</status>
      <modifiedWord/>
      <trackRevisions>false</trackRevisions>
    </reviewItem>
    <reviewItem>
      <errorID>d729059c-b109-4a57-9ad5-761ed82e4e0c</errorID>
      <errorWord>我单位</errorWord>
      <group>L1_Other</group>
      <groupName>其他问题</groupName>
      <ability>L2_UserTypo</ability>
      <abilityName>自定义错误</abilityName>
      <candidateList>
        <item>本单位</item>
      </candidateList>
      <explain>来自自定义错词库。</explain>
      <paraID>5163A379</paraID>
      <start>18</start>
      <end>21</end>
      <status>unmodified</status>
      <modifiedWord/>
      <trackRevisions>false</trackRevisions>
    </reviewItem>
    <reviewItem>
      <errorID>d512d51b-4c3e-45a1-8d02-9592b00a6612</errorID>
      <errorWord>我单位</errorWord>
      <group>L1_Other</group>
      <groupName>其他问题</groupName>
      <ability>L2_UserTypo</ability>
      <abilityName>自定义错误</abilityName>
      <candidateList>
        <item>本单位</item>
      </candidateList>
      <explain>来自自定义错词库。</explain>
      <paraID>29138A27</paraID>
      <start>128</start>
      <end>131</end>
      <status>unmodified</status>
      <modifiedWord/>
      <trackRevisions>false</trackRevisions>
    </reviewItem>
    <reviewItem>
      <errorID>397e990e-8569-4a28-b6eb-1765e834a0f8</errorID>
      <errorWord>我单位</errorWord>
      <group>L1_Other</group>
      <groupName>其他问题</groupName>
      <ability>L2_UserTypo</ability>
      <abilityName>自定义错误</abilityName>
      <candidateList>
        <item>本单位</item>
      </candidateList>
      <explain>来自自定义错词库。</explain>
      <paraID>29138A27</paraID>
      <start>195</start>
      <end>198</end>
      <status>unmodified</status>
      <modifiedWord/>
      <trackRevisions>false</trackRevisions>
    </reviewItem>
    <reviewItem>
      <errorID>f69e2efe-9a75-4545-a45a-4a44db7c2efa</errorID>
      <errorWord>我单位</errorWord>
      <group>L1_Other</group>
      <groupName>其他问题</groupName>
      <ability>L2_UserTypo</ability>
      <abilityName>自定义错误</abilityName>
      <candidateList>
        <item>本单位</item>
      </candidateList>
      <explain>来自自定义错词库。</explain>
      <paraID>29138A27</paraID>
      <start>324</start>
      <end>327</end>
      <status>unmodified</status>
      <modifiedWord/>
      <trackRevisions>false</trackRevisions>
    </reviewItem>
    <reviewItem>
      <errorID>c7a4b7b5-2b17-4058-ab69-c3b789f44d79</errorID>
      <errorWord>;</errorWord>
      <group>L1_Format</group>
      <groupName>格式问题</groupName>
      <ability>L2_HalfPunc_CN</ability>
      <abilityName>全半角问题</abilityName>
      <candidateList>
        <item>；</item>
      </candidateList>
      <explain>文本全半角错误。</explain>
      <paraID>5E3E631D</paraID>
      <start>148</start>
      <end>149</end>
      <status>modified</status>
      <modifiedWord>；</modifiedWord>
      <trackRevisions>false</trackRevisions>
    </reviewItem>
    <reviewItem>
      <errorID>b58b4c57-6335-433c-8e7f-de9b8c211988</errorID>
      <errorWord>强化</errorWord>
      <group>L1_Grammar</group>
      <groupName>语法问题</groupName>
      <ability>L2_Grammar</ability>
      <abilityName>语法错误</abilityName>
      <candidateList>
        <item>提升</item>
      </candidateList>
      <explain>“强化～科学性”搭配不当，建议修改为“提升～科学性”。</explain>
      <paraID>2E6E21E8</paraID>
      <start>88</start>
      <end>90</end>
      <status>unmodified</status>
      <modifiedWord/>
      <trackRevisions>false</trackRevisions>
    </reviewItem>
    <reviewItem>
      <errorID>fef6597a-8bf0-48e2-909c-1f245ff5eaf8</errorID>
      <errorWord>强化</errorWord>
      <group>L1_Grammar</group>
      <groupName>语法问题</groupName>
      <ability>L2_Grammar</ability>
      <abilityName>语法错误</abilityName>
      <candidateList>
        <item>提升</item>
      </candidateList>
      <explain>“强化～科学性”搭配不当，建议修改为“提升～科学性”。</explain>
      <paraID>2E6E21E8</paraID>
      <start>303</start>
      <end>305</end>
      <status>unmodified</status>
      <modifiedWord/>
      <trackRevisions>false</trackRevisions>
    </reviewItem>
  </reviewItems>
  <config/>
</contractReview>
</file>

<file path=customXml/itemProps1.xml><?xml version="1.0" encoding="utf-8"?>
<ds:datastoreItem xmlns:ds="http://schemas.openxmlformats.org/officeDocument/2006/customXml" ds:itemID="{7508dceb-f329-45d5-ba9c-4a8b2250846c}">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5928</Words>
  <Characters>6683</Characters>
  <Lines>52</Lines>
  <Paragraphs>14</Paragraphs>
  <TotalTime>48</TotalTime>
  <ScaleCrop>false</ScaleCrop>
  <LinksUpToDate>false</LinksUpToDate>
  <CharactersWithSpaces>6690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2026-08-12T10:25:00Z</dcterms:created>
  <dc:creator>Administrator</dc:creator>
  <cp:lastModifiedBy>蹁跹</cp:lastModifiedBy>
  <dcterms:modified xsi:type="dcterms:W3CDTF">2026-08-25T08:57:34Z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eyJoZGlkIjoiNTBiYjFiYzY0OWM2ODlhYjA1NDAwODJkOGMwZGNkYTMiLCJ1c2VySWQiOiIxMTU3MzgyOTA5In0=</vt:lpwstr>
  </property>
  <property fmtid="{D5CDD505-2E9C-101B-9397-08002B2CF9AE}" pid="3" name="KSOProductBuildVer">
    <vt:lpwstr>2052-12.1.0.28043</vt:lpwstr>
  </property>
  <property fmtid="{D5CDD505-2E9C-101B-9397-08002B2CF9AE}" pid="4" name="ICV">
    <vt:lpwstr>0C2D4D0474EA44B3834590472BB69C2B_12</vt:lpwstr>
  </property>
</Properties>
</file>