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CC5F1">
      <w:pPr>
        <w:spacing w:line="266" w:lineRule="auto"/>
        <w:rPr>
          <w:rFonts w:ascii="Arial"/>
          <w:sz w:val="21"/>
        </w:rPr>
      </w:pPr>
    </w:p>
    <w:p w14:paraId="550145A8">
      <w:pPr>
        <w:spacing w:line="266" w:lineRule="auto"/>
        <w:rPr>
          <w:rFonts w:ascii="Arial"/>
          <w:sz w:val="21"/>
        </w:rPr>
      </w:pPr>
    </w:p>
    <w:p w14:paraId="1D4A4939">
      <w:pPr>
        <w:spacing w:line="267" w:lineRule="auto"/>
        <w:rPr>
          <w:rFonts w:ascii="Arial"/>
          <w:sz w:val="21"/>
        </w:rPr>
      </w:pPr>
    </w:p>
    <w:p w14:paraId="039D4F16">
      <w:pPr>
        <w:spacing w:line="267" w:lineRule="auto"/>
        <w:rPr>
          <w:rFonts w:ascii="Arial"/>
          <w:sz w:val="21"/>
        </w:rPr>
      </w:pPr>
    </w:p>
    <w:p w14:paraId="5049CAA5">
      <w:pPr>
        <w:spacing w:line="267" w:lineRule="auto"/>
        <w:rPr>
          <w:rFonts w:ascii="Arial"/>
          <w:sz w:val="21"/>
        </w:rPr>
      </w:pPr>
    </w:p>
    <w:p w14:paraId="785CBA1A">
      <w:pPr>
        <w:spacing w:line="267" w:lineRule="auto"/>
        <w:rPr>
          <w:rFonts w:ascii="Arial"/>
          <w:sz w:val="21"/>
        </w:rPr>
      </w:pPr>
    </w:p>
    <w:p w14:paraId="557EC7E1">
      <w:pPr>
        <w:spacing w:line="267" w:lineRule="auto"/>
        <w:rPr>
          <w:rFonts w:ascii="Arial"/>
          <w:sz w:val="21"/>
        </w:rPr>
      </w:pPr>
    </w:p>
    <w:p w14:paraId="6ECA5AAD">
      <w:pPr>
        <w:spacing w:line="267" w:lineRule="auto"/>
        <w:rPr>
          <w:rFonts w:ascii="Arial"/>
          <w:sz w:val="21"/>
        </w:rPr>
      </w:pPr>
    </w:p>
    <w:p w14:paraId="7B22F2D3">
      <w:pPr>
        <w:spacing w:line="267" w:lineRule="auto"/>
        <w:rPr>
          <w:rFonts w:ascii="Arial"/>
          <w:sz w:val="21"/>
        </w:rPr>
      </w:pPr>
    </w:p>
    <w:p w14:paraId="2BCB08AC">
      <w:pPr>
        <w:spacing w:line="267" w:lineRule="auto"/>
        <w:rPr>
          <w:rFonts w:ascii="Arial"/>
          <w:sz w:val="21"/>
        </w:rPr>
      </w:pPr>
    </w:p>
    <w:p w14:paraId="41DF1131">
      <w:pPr>
        <w:spacing w:line="267" w:lineRule="auto"/>
        <w:rPr>
          <w:rFonts w:ascii="Arial"/>
          <w:sz w:val="21"/>
        </w:rPr>
      </w:pPr>
    </w:p>
    <w:p w14:paraId="0827CA6F">
      <w:pPr>
        <w:spacing w:line="267" w:lineRule="auto"/>
        <w:rPr>
          <w:rFonts w:ascii="Arial"/>
          <w:sz w:val="21"/>
        </w:rPr>
      </w:pPr>
    </w:p>
    <w:p w14:paraId="7D44AF7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黑体" w:hAnsi="黑体" w:eastAsia="黑体" w:cs="黑体"/>
          <w:sz w:val="44"/>
          <w:szCs w:val="44"/>
        </w:rPr>
      </w:pPr>
      <w:r>
        <w:rPr>
          <w:rFonts w:hint="eastAsia" w:ascii="方正小标宋_GBK" w:hAnsi="宋体" w:eastAsia="方正小标宋_GBK" w:cs="Times New Roman"/>
          <w:snapToGrid/>
          <w:kern w:val="2"/>
          <w:sz w:val="44"/>
          <w:szCs w:val="44"/>
          <w:highlight w:val="none"/>
          <w:lang w:eastAsia="zh-CN"/>
        </w:rPr>
        <w:t>新疆维吾尔自治区自然资源督察事务中心2025年度部门决算公开说明</w:t>
      </w:r>
    </w:p>
    <w:p w14:paraId="410B0274">
      <w:pPr>
        <w:spacing w:line="241" w:lineRule="auto"/>
        <w:rPr>
          <w:rFonts w:ascii="黑体" w:hAnsi="黑体" w:eastAsia="黑体" w:cs="黑体"/>
          <w:sz w:val="44"/>
          <w:szCs w:val="44"/>
        </w:rPr>
        <w:sectPr>
          <w:pgSz w:w="12240" w:h="15840"/>
          <w:pgMar w:top="1346" w:right="1836" w:bottom="0" w:left="1836" w:header="0" w:footer="0" w:gutter="0"/>
          <w:cols w:space="720" w:num="1"/>
        </w:sectPr>
      </w:pPr>
    </w:p>
    <w:p w14:paraId="5D67C609">
      <w:pPr>
        <w:spacing w:line="240" w:lineRule="auto"/>
        <w:ind w:left="0" w:leftChars="0"/>
        <w:rPr>
          <w:rFonts w:ascii="FangSong_GB2312" w:hAnsi="FangSong_GB2312" w:eastAsia="FangSong_GB2312" w:cs="FangSong_GB2312"/>
          <w:sz w:val="32"/>
          <w:szCs w:val="32"/>
        </w:rPr>
      </w:pPr>
      <w:sdt>
        <w:sdtPr>
          <w:rPr>
            <w:rFonts w:ascii="黑体" w:hAnsi="黑体" w:eastAsia="黑体" w:cs="黑体"/>
            <w:sz w:val="32"/>
            <w:szCs w:val="32"/>
          </w:rPr>
          <w:id w:val="147455901"/>
          <w:showingPlcHdr/>
          <w:docPartObj>
            <w:docPartGallery w:val="Table of Contents"/>
            <w:docPartUnique/>
          </w:docPartObj>
        </w:sdtPr>
        <w:sdtEndPr>
          <w:rPr>
            <w:rFonts w:ascii="FangSong_GB2312" w:hAnsi="FangSong_GB2312" w:eastAsia="FangSong_GB2312" w:cs="FangSong_GB2312"/>
            <w:sz w:val="32"/>
            <w:szCs w:val="32"/>
          </w:rPr>
        </w:sdtEndPr>
        <w:sdtContent>
          <w:r>
            <w:rPr>
              <w:rFonts w:hint="eastAsia" w:ascii="黑体" w:hAnsi="黑体" w:eastAsia="黑体" w:cs="黑体"/>
              <w:sz w:val="32"/>
              <w:szCs w:val="32"/>
              <w:lang w:eastAsia="zh-CN"/>
            </w:rPr>
            <w:t xml:space="preserve">     </w:t>
          </w:r>
        </w:sdtContent>
      </w:sdt>
    </w:p>
    <w:p w14:paraId="10A42C07">
      <w:pPr>
        <w:keepNext w:val="0"/>
        <w:keepLines w:val="0"/>
        <w:pageBreakBefore w:val="0"/>
        <w:widowControl w:val="0"/>
        <w:kinsoku/>
        <w:wordWrap/>
        <w:overflowPunct/>
        <w:topLinePunct w:val="0"/>
        <w:autoSpaceDE/>
        <w:autoSpaceDN/>
        <w:bidi w:val="0"/>
        <w:adjustRightInd/>
        <w:snapToGrid/>
        <w:spacing w:line="600" w:lineRule="exact"/>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14:paraId="59E6E6EC">
      <w:pPr>
        <w:pStyle w:val="4"/>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03EAFA2">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70F50938">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sz w:val="32"/>
          <w:szCs w:val="32"/>
          <w:highlight w:val="none"/>
        </w:rPr>
        <w:fldChar w:fldCharType="end"/>
      </w:r>
    </w:p>
    <w:p w14:paraId="517868D9">
      <w:pPr>
        <w:pStyle w:val="4"/>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01B98C57">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3B160083">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3AFB726">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495FABB5">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18A302E">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1440A4D">
      <w:pPr>
        <w:pStyle w:val="3"/>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66B241E">
      <w:pPr>
        <w:pStyle w:val="3"/>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E3E8236">
      <w:pPr>
        <w:pStyle w:val="3"/>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344F3C14">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D443828">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44DD12E1">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C4F0CF8">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8C5670C">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2E5EC73">
      <w:pPr>
        <w:pStyle w:val="3"/>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723EAB65">
      <w:pPr>
        <w:pStyle w:val="3"/>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5A2D961">
      <w:pPr>
        <w:pStyle w:val="3"/>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61278300">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552C265E">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eastAsia="仿宋_GB2312"/>
          <w:highlight w:val="none"/>
          <w:lang w:val="en-US" w:eastAsia="zh-CN"/>
        </w:rPr>
      </w:pPr>
      <w:r>
        <w:rPr>
          <w:rFonts w:hint="eastAsia" w:ascii="仿宋_GB2312" w:hAnsi="仿宋_GB2312" w:eastAsia="仿宋_GB2312" w:cs="仿宋_GB2312"/>
          <w:kern w:val="2"/>
          <w:sz w:val="32"/>
          <w:szCs w:val="32"/>
          <w:highlight w:val="none"/>
          <w:lang w:val="en-US" w:eastAsia="zh-CN" w:bidi="ar-SA"/>
        </w:rPr>
        <w:t>十二、其他需说明的事项</w:t>
      </w:r>
    </w:p>
    <w:p w14:paraId="660C427B">
      <w:pPr>
        <w:pStyle w:val="4"/>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1858E1EB">
      <w:pPr>
        <w:pStyle w:val="4"/>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5B369B5F">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6816C91">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83CC6C2">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E7B031E">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2FD70C6">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897C9D1">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03E065F">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CE1180D">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2DF55DA5">
      <w:pPr>
        <w:pStyle w:val="5"/>
        <w:keepNext w:val="0"/>
        <w:keepLines w:val="0"/>
        <w:pageBreakBefore w:val="0"/>
        <w:widowControl w:val="0"/>
        <w:tabs>
          <w:tab w:val="right" w:leader="dot" w:pos="8306"/>
        </w:tabs>
        <w:kinsoku/>
        <w:wordWrap/>
        <w:overflowPunct/>
        <w:topLinePunct w:val="0"/>
        <w:autoSpaceDE/>
        <w:autoSpaceDN/>
        <w:bidi w:val="0"/>
        <w:adjustRightInd/>
        <w:snapToGrid/>
        <w:spacing w:line="600" w:lineRule="exact"/>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4085820">
      <w:pPr>
        <w:spacing w:line="240" w:lineRule="auto"/>
        <w:ind w:left="0" w:leftChars="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end"/>
      </w:r>
    </w:p>
    <w:p w14:paraId="0606B8B5">
      <w:pPr>
        <w:spacing w:line="240" w:lineRule="auto"/>
        <w:ind w:left="0" w:leftChars="0"/>
        <w:rPr>
          <w:rFonts w:hint="eastAsia" w:ascii="仿宋_GB2312" w:hAnsi="仿宋_GB2312" w:eastAsia="仿宋_GB2312" w:cs="仿宋_GB2312"/>
          <w:sz w:val="32"/>
          <w:szCs w:val="32"/>
          <w:highlight w:val="none"/>
        </w:rPr>
      </w:pPr>
    </w:p>
    <w:p w14:paraId="10E80570">
      <w:pPr>
        <w:spacing w:line="240" w:lineRule="auto"/>
        <w:ind w:left="0" w:leftChars="0"/>
        <w:rPr>
          <w:rFonts w:hint="eastAsia" w:ascii="仿宋_GB2312" w:hAnsi="仿宋_GB2312" w:eastAsia="仿宋_GB2312" w:cs="仿宋_GB2312"/>
          <w:sz w:val="32"/>
          <w:szCs w:val="32"/>
          <w:highlight w:val="none"/>
        </w:rPr>
      </w:pPr>
    </w:p>
    <w:p w14:paraId="1C8731A8">
      <w:pPr>
        <w:spacing w:line="240" w:lineRule="auto"/>
        <w:ind w:left="0" w:leftChars="0"/>
        <w:rPr>
          <w:rFonts w:hint="eastAsia" w:ascii="仿宋_GB2312" w:hAnsi="仿宋_GB2312" w:eastAsia="仿宋_GB2312" w:cs="仿宋_GB2312"/>
          <w:sz w:val="32"/>
          <w:szCs w:val="32"/>
          <w:highlight w:val="none"/>
        </w:rPr>
      </w:pPr>
    </w:p>
    <w:p w14:paraId="1C91981D">
      <w:pPr>
        <w:spacing w:line="240" w:lineRule="auto"/>
        <w:ind w:left="0" w:leftChars="0"/>
        <w:rPr>
          <w:rFonts w:hint="eastAsia" w:ascii="仿宋_GB2312" w:hAnsi="仿宋_GB2312" w:eastAsia="仿宋_GB2312" w:cs="仿宋_GB2312"/>
          <w:sz w:val="32"/>
          <w:szCs w:val="32"/>
          <w:highlight w:val="none"/>
        </w:rPr>
      </w:pPr>
    </w:p>
    <w:p w14:paraId="593103BC">
      <w:pPr>
        <w:spacing w:line="240" w:lineRule="auto"/>
        <w:ind w:left="0" w:leftChars="0"/>
        <w:rPr>
          <w:rFonts w:hint="eastAsia" w:ascii="仿宋_GB2312" w:hAnsi="仿宋_GB2312" w:eastAsia="仿宋_GB2312" w:cs="仿宋_GB2312"/>
          <w:sz w:val="32"/>
          <w:szCs w:val="32"/>
          <w:highlight w:val="none"/>
        </w:rPr>
      </w:pPr>
    </w:p>
    <w:p w14:paraId="00C43837">
      <w:pPr>
        <w:spacing w:line="240" w:lineRule="auto"/>
        <w:ind w:left="0" w:leftChars="0"/>
        <w:rPr>
          <w:rFonts w:hint="eastAsia" w:ascii="仿宋_GB2312" w:hAnsi="仿宋_GB2312" w:eastAsia="仿宋_GB2312" w:cs="仿宋_GB2312"/>
          <w:sz w:val="32"/>
          <w:szCs w:val="32"/>
          <w:highlight w:val="none"/>
        </w:rPr>
      </w:pPr>
    </w:p>
    <w:p w14:paraId="62F300EC">
      <w:pPr>
        <w:spacing w:line="240" w:lineRule="auto"/>
        <w:ind w:left="0" w:leftChars="0"/>
        <w:rPr>
          <w:rFonts w:hint="eastAsia" w:ascii="仿宋_GB2312" w:hAnsi="仿宋_GB2312" w:eastAsia="仿宋_GB2312" w:cs="仿宋_GB2312"/>
          <w:sz w:val="32"/>
          <w:szCs w:val="32"/>
          <w:highlight w:val="none"/>
        </w:rPr>
      </w:pPr>
    </w:p>
    <w:p w14:paraId="6898CBC7">
      <w:pPr>
        <w:spacing w:line="240" w:lineRule="auto"/>
        <w:ind w:left="0" w:leftChars="0"/>
        <w:rPr>
          <w:rFonts w:hint="eastAsia" w:ascii="仿宋_GB2312" w:hAnsi="仿宋_GB2312" w:eastAsia="仿宋_GB2312" w:cs="仿宋_GB2312"/>
          <w:sz w:val="32"/>
          <w:szCs w:val="32"/>
          <w:highlight w:val="none"/>
        </w:rPr>
      </w:pPr>
    </w:p>
    <w:p w14:paraId="60A8D3B3">
      <w:pPr>
        <w:spacing w:line="240" w:lineRule="auto"/>
        <w:ind w:left="0" w:leftChars="0"/>
        <w:rPr>
          <w:rFonts w:hint="eastAsia" w:ascii="仿宋_GB2312" w:hAnsi="仿宋_GB2312" w:eastAsia="仿宋_GB2312" w:cs="仿宋_GB2312"/>
          <w:sz w:val="32"/>
          <w:szCs w:val="32"/>
          <w:highlight w:val="none"/>
        </w:rPr>
      </w:pPr>
    </w:p>
    <w:p w14:paraId="19C9AA12">
      <w:pPr>
        <w:spacing w:line="240" w:lineRule="auto"/>
        <w:ind w:left="0" w:leftChars="0"/>
        <w:rPr>
          <w:rFonts w:hint="eastAsia" w:ascii="仿宋_GB2312" w:hAnsi="仿宋_GB2312" w:eastAsia="仿宋_GB2312" w:cs="仿宋_GB2312"/>
          <w:sz w:val="32"/>
          <w:szCs w:val="32"/>
          <w:highlight w:val="none"/>
        </w:rPr>
      </w:pPr>
    </w:p>
    <w:p w14:paraId="26E99CF3">
      <w:pPr>
        <w:spacing w:line="240" w:lineRule="auto"/>
        <w:ind w:left="0" w:leftChars="0"/>
        <w:rPr>
          <w:rFonts w:hint="eastAsia" w:ascii="仿宋_GB2312" w:hAnsi="仿宋_GB2312" w:eastAsia="仿宋_GB2312" w:cs="仿宋_GB2312"/>
          <w:sz w:val="32"/>
          <w:szCs w:val="32"/>
          <w:highlight w:val="none"/>
        </w:rPr>
      </w:pPr>
    </w:p>
    <w:p w14:paraId="2FC284CF">
      <w:pPr>
        <w:spacing w:line="240" w:lineRule="auto"/>
        <w:ind w:left="0" w:leftChars="0"/>
        <w:rPr>
          <w:rFonts w:hint="eastAsia" w:ascii="仿宋_GB2312" w:hAnsi="仿宋_GB2312" w:eastAsia="仿宋_GB2312" w:cs="仿宋_GB2312"/>
          <w:sz w:val="32"/>
          <w:szCs w:val="32"/>
          <w:highlight w:val="none"/>
        </w:rPr>
      </w:pPr>
    </w:p>
    <w:p w14:paraId="5DA93E5C">
      <w:pPr>
        <w:spacing w:line="240" w:lineRule="auto"/>
        <w:ind w:left="0" w:leftChars="0"/>
        <w:rPr>
          <w:rFonts w:hint="eastAsia" w:ascii="仿宋_GB2312" w:hAnsi="仿宋_GB2312" w:eastAsia="仿宋_GB2312" w:cs="仿宋_GB2312"/>
          <w:sz w:val="32"/>
          <w:szCs w:val="32"/>
          <w:highlight w:val="none"/>
        </w:rPr>
      </w:pPr>
    </w:p>
    <w:p w14:paraId="6A3B46D2">
      <w:pPr>
        <w:spacing w:line="240" w:lineRule="auto"/>
        <w:ind w:left="0" w:leftChars="0"/>
        <w:rPr>
          <w:rFonts w:hint="eastAsia" w:ascii="仿宋_GB2312" w:hAnsi="仿宋_GB2312" w:eastAsia="仿宋_GB2312" w:cs="仿宋_GB2312"/>
          <w:sz w:val="32"/>
          <w:szCs w:val="32"/>
          <w:highlight w:val="none"/>
        </w:rPr>
      </w:pPr>
    </w:p>
    <w:p w14:paraId="352E4534">
      <w:pPr>
        <w:spacing w:line="240" w:lineRule="auto"/>
        <w:ind w:left="0" w:leftChars="0"/>
        <w:rPr>
          <w:rFonts w:hint="eastAsia" w:ascii="仿宋_GB2312" w:hAnsi="仿宋_GB2312" w:eastAsia="仿宋_GB2312" w:cs="仿宋_GB2312"/>
          <w:sz w:val="32"/>
          <w:szCs w:val="32"/>
          <w:highlight w:val="none"/>
        </w:rPr>
      </w:pPr>
    </w:p>
    <w:p w14:paraId="1F7EDAB2">
      <w:pPr>
        <w:spacing w:line="240" w:lineRule="auto"/>
        <w:ind w:left="0" w:leftChars="0"/>
        <w:rPr>
          <w:rFonts w:hint="eastAsia" w:ascii="仿宋_GB2312" w:hAnsi="仿宋_GB2312" w:eastAsia="仿宋_GB2312" w:cs="仿宋_GB2312"/>
          <w:sz w:val="32"/>
          <w:szCs w:val="32"/>
          <w:highlight w:val="none"/>
        </w:rPr>
      </w:pPr>
    </w:p>
    <w:p w14:paraId="3A780974">
      <w:pPr>
        <w:spacing w:line="240" w:lineRule="auto"/>
        <w:ind w:left="0" w:leftChars="0"/>
        <w:rPr>
          <w:rFonts w:hint="eastAsia" w:ascii="仿宋_GB2312" w:hAnsi="仿宋_GB2312" w:eastAsia="仿宋_GB2312" w:cs="仿宋_GB2312"/>
          <w:sz w:val="32"/>
          <w:szCs w:val="32"/>
          <w:highlight w:val="none"/>
        </w:rPr>
      </w:pPr>
    </w:p>
    <w:p w14:paraId="421170D2">
      <w:pPr>
        <w:spacing w:line="240" w:lineRule="auto"/>
        <w:ind w:left="0" w:leftChars="0"/>
        <w:rPr>
          <w:rFonts w:hint="eastAsia" w:ascii="仿宋_GB2312" w:hAnsi="仿宋_GB2312" w:eastAsia="仿宋_GB2312" w:cs="仿宋_GB2312"/>
          <w:sz w:val="32"/>
          <w:szCs w:val="32"/>
          <w:highlight w:val="none"/>
        </w:rPr>
      </w:pPr>
    </w:p>
    <w:p w14:paraId="33BDBBB1">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ascii="黑体" w:hAnsi="黑体" w:eastAsia="黑体" w:cs="黑体"/>
          <w:sz w:val="32"/>
          <w:szCs w:val="32"/>
        </w:rPr>
      </w:pPr>
      <w:r>
        <w:rPr>
          <w:rFonts w:hint="eastAsia" w:ascii="黑体" w:hAnsi="黑体" w:eastAsia="黑体" w:cs="宋体"/>
          <w:bCs/>
          <w:snapToGrid/>
          <w:kern w:val="0"/>
          <w:sz w:val="32"/>
          <w:szCs w:val="32"/>
          <w:highlight w:val="none"/>
          <w:lang w:val="en-US" w:eastAsia="zh-CN"/>
        </w:rPr>
        <w:t>第一部分单位概况</w:t>
      </w:r>
    </w:p>
    <w:p w14:paraId="69F5791F">
      <w:pPr>
        <w:spacing w:before="37" w:line="219" w:lineRule="auto"/>
        <w:ind w:left="652"/>
        <w:rPr>
          <w:rFonts w:ascii="黑体" w:hAnsi="黑体" w:eastAsia="黑体" w:cs="黑体"/>
          <w:sz w:val="32"/>
          <w:szCs w:val="32"/>
        </w:rPr>
      </w:pPr>
      <w:r>
        <w:rPr>
          <w:rFonts w:ascii="黑体" w:hAnsi="黑体" w:eastAsia="黑体" w:cs="黑体"/>
          <w:spacing w:val="-7"/>
          <w:sz w:val="32"/>
          <w:szCs w:val="32"/>
        </w:rPr>
        <w:t>一、主要职能</w:t>
      </w:r>
    </w:p>
    <w:p w14:paraId="17C4F03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一）协助开展自治区自然资源法治建设、法治宣传教育等工作；承担自治区自然资源法规规章草案起草、调研论证及法规规章清理和实施后评估工作；承担自治区自然资源系统法治建设、法治宣传规划和年度要点起草。</w:t>
      </w:r>
    </w:p>
    <w:p w14:paraId="6EDB23B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二）承担自治区自然资源行政复议、行政应诉案件调查取证、收集资料等事务性工作，对自治区自然资源领域行政复议、行政应诉案件进行分析、统计并提出工作意见建议；承担有关自然资源法律、法规、政策咨询服务工作；受委托参加行政应诉。</w:t>
      </w:r>
    </w:p>
    <w:p w14:paraId="7BF24B4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三）承担自治区自然资源督察相关政策、业务、技术等方面支撑和保障工作；受委托承担对地方落实自然资源和国土空间规划等重大方针政策、决策部署和法律法规执行情况进行督察的事务性工作；承担国家和自治区自然资源督察整改落实、专项整治核查和成果报送工作；协助开展中央环保督察反馈问题整改工作。</w:t>
      </w:r>
    </w:p>
    <w:p w14:paraId="049732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（四）开展自然资源督察相关制度、标准、规范研究和起草工作；负责草拟自治区自然资源督察年度工作计划、实施督察工作方案和督察报告。</w:t>
      </w:r>
    </w:p>
    <w:p w14:paraId="69B547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五）协助开展自治区权限内自然资源领域违法案件查处相关工作；负责自然资源执法工作制度、标准、规范起草；受委托开展全区自然资源和国土空间规划、测绘违法线索、违法案件调查处理和整改工作，协助开展自然资源领域跨区域违法案件调查处理。</w:t>
      </w:r>
    </w:p>
    <w:p w14:paraId="07A0C3B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（六）承担自治区自然资源领域违法案件统计、监测和分析研判等工作；受委托开展对地方自然资源主管部门行政执法的监督检查。</w:t>
      </w:r>
    </w:p>
    <w:p w14:paraId="694BBB4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（七）承担自治区自然资源执法监督、智慧督察等技术支撑。</w:t>
      </w:r>
    </w:p>
    <w:p w14:paraId="77DF5A6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（八）承担自治区自然资源厅交办的其他工作。</w:t>
      </w:r>
    </w:p>
    <w:p w14:paraId="0E29ED26">
      <w:pPr>
        <w:spacing w:line="218" w:lineRule="auto"/>
        <w:ind w:left="651"/>
        <w:rPr>
          <w:rFonts w:ascii="黑体" w:hAnsi="黑体" w:eastAsia="黑体" w:cs="黑体"/>
          <w:sz w:val="32"/>
          <w:szCs w:val="32"/>
        </w:rPr>
      </w:pPr>
      <w:r>
        <w:rPr>
          <w:rFonts w:ascii="黑体" w:hAnsi="黑体" w:eastAsia="黑体" w:cs="黑体"/>
          <w:spacing w:val="-3"/>
          <w:sz w:val="32"/>
          <w:szCs w:val="32"/>
        </w:rPr>
        <w:t>二、机构设置</w:t>
      </w:r>
    </w:p>
    <w:p w14:paraId="49326CD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sectPr>
          <w:pgSz w:w="12240" w:h="15840"/>
          <w:pgMar w:top="1346" w:right="1800" w:bottom="0" w:left="1809" w:header="0" w:footer="0" w:gutter="0"/>
          <w:cols w:space="720" w:num="1"/>
        </w:sectPr>
      </w:pPr>
      <w:r>
        <w:rPr>
          <w:rFonts w:hint="eastAsia" w:ascii="仿宋_GB2312" w:hAnsi="Times New Roman" w:eastAsia="仿宋_GB2312" w:cs="Times New Roman"/>
          <w:snapToGrid/>
          <w:kern w:val="2"/>
          <w:sz w:val="32"/>
          <w:szCs w:val="32"/>
          <w:highlight w:val="none"/>
          <w:lang w:eastAsia="zh-CN"/>
        </w:rPr>
        <w:t>新疆维吾尔自治区自然资源督察事务中心无下属预算单位。</w:t>
      </w:r>
    </w:p>
    <w:p w14:paraId="332B7A5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1"/>
        <w:rPr>
          <w:rFonts w:ascii="黑体" w:hAnsi="黑体" w:eastAsia="黑体" w:cs="黑体"/>
          <w:sz w:val="32"/>
          <w:szCs w:val="32"/>
        </w:rPr>
      </w:pPr>
      <w:r>
        <w:rPr>
          <w:rFonts w:hint="eastAsia" w:ascii="黑体" w:hAnsi="黑体" w:eastAsia="黑体" w:cs="宋体"/>
          <w:bCs/>
          <w:snapToGrid/>
          <w:kern w:val="0"/>
          <w:sz w:val="32"/>
          <w:szCs w:val="32"/>
          <w:highlight w:val="none"/>
          <w:lang w:val="en-US" w:eastAsia="zh-CN"/>
        </w:rPr>
        <w:t>第二部分 部门决算情况说明</w:t>
      </w:r>
    </w:p>
    <w:p w14:paraId="6131D0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黑体" w:eastAsia="黑体" w:cs="黑体"/>
          <w:sz w:val="32"/>
          <w:szCs w:val="32"/>
        </w:rPr>
      </w:pPr>
      <w:r>
        <w:rPr>
          <w:rFonts w:hint="eastAsia" w:ascii="黑体" w:hAnsi="黑体" w:eastAsia="黑体" w:cs="宋体"/>
          <w:bCs/>
          <w:snapToGrid/>
          <w:kern w:val="0"/>
          <w:sz w:val="32"/>
          <w:szCs w:val="32"/>
          <w:highlight w:val="none"/>
          <w:lang w:val="en-US" w:eastAsia="zh-CN"/>
        </w:rPr>
        <w:t>一、收入支出决算总体情况说明</w:t>
      </w:r>
    </w:p>
    <w:p w14:paraId="2ECF718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2025年度收入总计3,626.54万元，其中：本年收入合计3,381.48万元，使用非财政拨款结余（含专用结余）0.00万元，年初结转和结余245.06万元。</w:t>
      </w:r>
    </w:p>
    <w:p w14:paraId="6D10232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2025年度支出总计3,626.54万元，其中：本年支出合计3,403.83万元，结余分配0.00万元，年末结转和结余222.71万元。</w:t>
      </w:r>
    </w:p>
    <w:p w14:paraId="2FA221E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收入支出总体与上年相比，增加3,259.89万元，增长889.10%，主要原因是：自治区执法总队与法律事务中心合并，收入支出总体增加。</w:t>
      </w:r>
    </w:p>
    <w:p w14:paraId="101BE1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黑体" w:eastAsia="黑体" w:cs="黑体"/>
          <w:sz w:val="32"/>
          <w:szCs w:val="32"/>
        </w:rPr>
      </w:pPr>
      <w:r>
        <w:rPr>
          <w:rFonts w:hint="eastAsia" w:ascii="黑体" w:hAnsi="黑体" w:eastAsia="黑体" w:cs="宋体"/>
          <w:bCs/>
          <w:snapToGrid/>
          <w:kern w:val="0"/>
          <w:sz w:val="32"/>
          <w:szCs w:val="32"/>
          <w:highlight w:val="none"/>
          <w:lang w:val="en-US" w:eastAsia="zh-CN"/>
        </w:rPr>
        <w:t>二、收入决算情况说明</w:t>
      </w:r>
    </w:p>
    <w:p w14:paraId="4BD9E8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本年收入3,381.48万元，其中：财政拨款收入3,381.23万元,占99.99%；上级补助收入0.00万元,占0.00%；事业收入0.00万元，占0.00%；经营收入0.00万元,占0.00%；附属单位上缴收入0.00万元，占0.00%；其他收入0.24万元，占0.01%。</w:t>
      </w:r>
    </w:p>
    <w:p w14:paraId="5DD6EC9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snapToGrid/>
          <w:kern w:val="0"/>
          <w:sz w:val="32"/>
          <w:szCs w:val="32"/>
          <w:highlight w:val="none"/>
          <w:lang w:val="en-US" w:eastAsia="zh-CN"/>
        </w:rPr>
      </w:pPr>
      <w:r>
        <w:rPr>
          <w:rFonts w:hint="eastAsia" w:ascii="黑体" w:hAnsi="黑体" w:eastAsia="黑体" w:cs="宋体"/>
          <w:bCs/>
          <w:snapToGrid/>
          <w:kern w:val="0"/>
          <w:sz w:val="32"/>
          <w:szCs w:val="32"/>
          <w:highlight w:val="none"/>
          <w:lang w:val="en-US" w:eastAsia="zh-CN"/>
        </w:rPr>
        <w:t>三、支出决算情况说明</w:t>
      </w:r>
    </w:p>
    <w:p w14:paraId="69E4424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本年支出3,403.83万元，其中：基本支出2,319.11万元，占68.13%；项目支出1,084.72万元，占31.87%；上缴上级支出0.00万元，占0.00%；经营支出0.00万元，占0.00%；对附属单位补助支出0.00万元，占0.00%。</w:t>
      </w:r>
    </w:p>
    <w:p w14:paraId="18F89B8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黑体" w:eastAsia="黑体" w:cs="黑体"/>
          <w:sz w:val="32"/>
          <w:szCs w:val="32"/>
        </w:rPr>
      </w:pPr>
      <w:r>
        <w:rPr>
          <w:rFonts w:hint="eastAsia" w:ascii="黑体" w:hAnsi="黑体" w:eastAsia="黑体" w:cs="宋体"/>
          <w:bCs/>
          <w:snapToGrid/>
          <w:kern w:val="0"/>
          <w:sz w:val="32"/>
          <w:szCs w:val="32"/>
          <w:highlight w:val="none"/>
          <w:lang w:val="en-US" w:eastAsia="zh-CN"/>
        </w:rPr>
        <w:t>四、财政拨款收入支出决算总体情况说明</w:t>
      </w:r>
    </w:p>
    <w:p w14:paraId="0C963EC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2025年度财政拨款收入总计3,381.23万元，其中：年初财政拨款结转和结余0.00万元，本年财政拨款收入3,381.23万元。财政拨款支出总计3,381.23万元，其中：年末财政拨款结转和结余5.11万元，本年财政拨款支出3,376.12万元。</w:t>
      </w:r>
    </w:p>
    <w:p w14:paraId="30502E5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财政拨款收入支出总体与上年相比，增加3,014.59万元，增长822.22%，主要原因是：自治区执法总队与法律事务中心合并，人员增加，相应经费增加。与年初预算相比，年初预算数2,810.46万元，决算数3,381.23万元，预决算差异率20.31%，主要原因是：自治区执法总队与法律事务中心合并，人员增加，预算增加，追加了年度考核奖。</w:t>
      </w:r>
    </w:p>
    <w:p w14:paraId="148AF4E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ascii="黑体" w:hAnsi="黑体" w:eastAsia="黑体" w:cs="黑体"/>
          <w:sz w:val="32"/>
          <w:szCs w:val="32"/>
        </w:rPr>
      </w:pPr>
      <w:r>
        <w:rPr>
          <w:rFonts w:hint="eastAsia" w:ascii="黑体" w:hAnsi="黑体" w:eastAsia="黑体" w:cs="宋体"/>
          <w:bCs/>
          <w:snapToGrid/>
          <w:kern w:val="0"/>
          <w:sz w:val="32"/>
          <w:szCs w:val="32"/>
          <w:highlight w:val="none"/>
          <w:lang w:val="en-US" w:eastAsia="zh-CN"/>
        </w:rPr>
        <w:t>五、一般公共预算财政拨款支出决算情况说明</w:t>
      </w:r>
    </w:p>
    <w:p w14:paraId="1C4581E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按照党中央、国务院关于党政机关习惯过紧日子的有关要求，厉行节约办一切事业，严控一般性支出。同时坚持有保有压，优化支出结构，提高资金使用效率，合理保障保工资、保运转、保民生等重点支出，体现在有关支出科目中。</w:t>
      </w:r>
    </w:p>
    <w:p w14:paraId="6AC5855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eastAsia" w:ascii="仿宋_GB2312" w:hAnsi="Times New Roman" w:eastAsia="仿宋_GB2312" w:cs="Times New Roman"/>
          <w:b w:val="0"/>
          <w:bCs w:val="0"/>
          <w:snapToGrid/>
          <w:spacing w:val="0"/>
          <w:kern w:val="2"/>
          <w:sz w:val="32"/>
          <w:szCs w:val="32"/>
          <w:highlight w:val="none"/>
          <w:lang w:eastAsia="zh-CN"/>
        </w:rPr>
        <w:t>按照支出功能分类，自然资源海洋气象等支出（类）自然资源事务（款）行政运行（项）的支出占本年财政拨款支出总额的比重最高，2025年度决算数为1,217.49万元，占比为36.06%，主要用于单位的基本支出人员类经费，保障单位正常运转类-公用经费。</w:t>
      </w:r>
    </w:p>
    <w:p w14:paraId="26E41BC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2"/>
        <w:rPr>
          <w:rFonts w:hint="eastAsia" w:ascii="楷体_GB2312" w:hAnsi="楷体_GB2312" w:eastAsia="楷体_GB2312" w:cs="楷体_GB2312"/>
          <w:b/>
          <w:bCs/>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（一）一般公共预算财政拨款支出决算总体情况</w:t>
      </w:r>
    </w:p>
    <w:p w14:paraId="0D578D3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2025年度一般公共预算财政拨款支出3,376.12万元，占本年支出合计的99.19%。与上年相比，增加3,009.48万元，增长820.83%，主要原因是：自治区执法总队与法律事务中心合并,人员由15人增加至38人，财政拨款支出增加。与年初预算相比，年初预算数2,810.46万元，决算数3,376.12万元，预决算差异率20.13%，主要原因是：自治区执法总队与法律事务中心合并，人员增加，预算增加，追加了年度考核奖。</w:t>
      </w:r>
    </w:p>
    <w:p w14:paraId="5EDC038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2"/>
        <w:rPr>
          <w:rFonts w:hint="eastAsia" w:ascii="楷体_GB2312" w:hAnsi="楷体_GB2312" w:eastAsia="楷体_GB2312" w:cs="楷体_GB2312"/>
          <w:b/>
          <w:bCs/>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（二）一般公共预算财政拨款支出决算结构情况</w:t>
      </w:r>
    </w:p>
    <w:p w14:paraId="484A7A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val="en-US" w:eastAsia="zh-CN"/>
        </w:rPr>
      </w:pPr>
      <w:r>
        <w:rPr>
          <w:rFonts w:hint="eastAsia" w:ascii="仿宋_GB2312" w:hAnsi="Times New Roman" w:eastAsia="仿宋_GB2312" w:cs="Times New Roman"/>
          <w:b w:val="0"/>
          <w:bCs w:val="0"/>
          <w:snapToGrid/>
          <w:spacing w:val="0"/>
          <w:kern w:val="2"/>
          <w:sz w:val="32"/>
          <w:szCs w:val="32"/>
          <w:highlight w:val="none"/>
          <w:lang w:val="en-US" w:eastAsia="zh-CN"/>
        </w:rPr>
        <w:t>1.一般公共服务支出(类)0.12万元,占0.004%。</w:t>
      </w:r>
    </w:p>
    <w:p w14:paraId="3A2B0F8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val="en-US" w:eastAsia="zh-CN"/>
        </w:rPr>
        <w:t>2.</w:t>
      </w:r>
      <w:r>
        <w:rPr>
          <w:rFonts w:hint="eastAsia" w:ascii="仿宋_GB2312" w:hAnsi="Times New Roman" w:eastAsia="仿宋_GB2312" w:cs="Times New Roman"/>
          <w:b w:val="0"/>
          <w:bCs w:val="0"/>
          <w:snapToGrid/>
          <w:spacing w:val="0"/>
          <w:kern w:val="2"/>
          <w:sz w:val="32"/>
          <w:szCs w:val="32"/>
          <w:highlight w:val="none"/>
          <w:lang w:eastAsia="zh-CN"/>
        </w:rPr>
        <w:t>社会保障和就业支出（类）935.67万元，占27.71%。</w:t>
      </w:r>
    </w:p>
    <w:p w14:paraId="4F9D7EF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Times New Roman" w:eastAsia="仿宋_GB2312" w:cs="Times New Roman"/>
          <w:b w:val="0"/>
          <w:bCs w:val="0"/>
          <w:snapToGrid/>
          <w:spacing w:val="0"/>
          <w:kern w:val="2"/>
          <w:sz w:val="32"/>
          <w:szCs w:val="32"/>
          <w:highlight w:val="none"/>
          <w:lang w:val="en-US" w:eastAsia="zh-CN"/>
        </w:rPr>
      </w:pPr>
      <w:r>
        <w:rPr>
          <w:rFonts w:hint="eastAsia" w:ascii="仿宋_GB2312" w:hAnsi="Times New Roman" w:eastAsia="仿宋_GB2312" w:cs="Times New Roman"/>
          <w:b w:val="0"/>
          <w:bCs w:val="0"/>
          <w:snapToGrid/>
          <w:spacing w:val="0"/>
          <w:kern w:val="2"/>
          <w:sz w:val="32"/>
          <w:szCs w:val="32"/>
          <w:highlight w:val="none"/>
          <w:lang w:val="en-US" w:eastAsia="zh-CN"/>
        </w:rPr>
        <w:t>3.卫生健康支出(类)85.12万元,占2.52%。</w:t>
      </w:r>
    </w:p>
    <w:p w14:paraId="10BC87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val="en-US" w:eastAsia="zh-CN"/>
        </w:rPr>
        <w:t>4.</w:t>
      </w:r>
      <w:r>
        <w:rPr>
          <w:rFonts w:hint="eastAsia" w:ascii="仿宋_GB2312" w:hAnsi="Times New Roman" w:eastAsia="仿宋_GB2312" w:cs="Times New Roman"/>
          <w:b w:val="0"/>
          <w:bCs w:val="0"/>
          <w:snapToGrid/>
          <w:spacing w:val="0"/>
          <w:kern w:val="2"/>
          <w:sz w:val="32"/>
          <w:szCs w:val="32"/>
          <w:highlight w:val="none"/>
          <w:lang w:eastAsia="zh-CN"/>
        </w:rPr>
        <w:t>自然资源海洋气象等支出（类）2,289.13万元，占67.80%。</w:t>
      </w:r>
    </w:p>
    <w:p w14:paraId="1A80F37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b w:val="0"/>
          <w:bCs w:val="0"/>
          <w:snapToGrid/>
          <w:spacing w:val="0"/>
          <w:kern w:val="2"/>
          <w:sz w:val="32"/>
          <w:szCs w:val="32"/>
          <w:highlight w:val="none"/>
          <w:lang w:eastAsia="zh-CN"/>
        </w:rPr>
      </w:pPr>
      <w:r>
        <w:rPr>
          <w:rFonts w:hint="eastAsia" w:ascii="仿宋_GB2312" w:hAnsi="Times New Roman" w:eastAsia="仿宋_GB2312" w:cs="Times New Roman"/>
          <w:b w:val="0"/>
          <w:bCs w:val="0"/>
          <w:snapToGrid/>
          <w:spacing w:val="0"/>
          <w:kern w:val="2"/>
          <w:sz w:val="32"/>
          <w:szCs w:val="32"/>
          <w:highlight w:val="none"/>
          <w:lang w:eastAsia="zh-CN"/>
        </w:rPr>
        <w:t>5.住房保障支出(类)66.08万元,占1.96%。</w:t>
      </w:r>
    </w:p>
    <w:p w14:paraId="356280B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2"/>
        <w:rPr>
          <w:rFonts w:hint="eastAsia" w:ascii="楷体_GB2312" w:hAnsi="楷体_GB2312" w:eastAsia="楷体_GB2312" w:cs="楷体_GB2312"/>
          <w:b/>
          <w:bCs/>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（三）一般公共预算财政拨款支出决算具体情况</w:t>
      </w:r>
    </w:p>
    <w:p w14:paraId="6C07CE2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1</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一般公共服务支出（类）人大事务（款）行政运行(项）：支出决算数为0.12万元，比上年决算增加0.12万元，增长100.00%，主要原因是：本年安排人员经费中部分津贴补贴在人大事务（款）行政运行(项）支出。</w:t>
      </w:r>
    </w:p>
    <w:p w14:paraId="0D7EFF2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2</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社会保障和就业支出（类）行政事业单位养老支出(款）行政单位离退休（项）：支出决算数为796.53万元，比上年决算增加791.09万元，增长14,542.10%，主要原因是：本年单位承担了原自治区执法总队315名退休人员的经费。</w:t>
      </w:r>
    </w:p>
    <w:p w14:paraId="612E04A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3</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社会保障和就业支出（类）行政事业单位养老支出(款）事业单位离退休（项）：支出决算数为0.41万元，比上年决算增加0.41万元，增长100.00%，主要原因是：按照预算安排，单位事业编退休人员经费安排在该科目。</w:t>
      </w:r>
    </w:p>
    <w:p w14:paraId="368A903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4</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社会保障和就业支出（类）行政事业单位养老支出(款）机关事业单位基本养老保险缴费支出（项）：支出决算数为88.11万元，比上年决算增加88.11万元，增长100.00%，主要原因是：自治区执法总队与法律事务中心合并，人员由15人增加至38人，合并后基本养老保险缴费支出安排在此科目，上年无此科目安排。</w:t>
      </w:r>
    </w:p>
    <w:p w14:paraId="2DD5C35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5</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社会保障和就业支出（类）行政事业单位养老支出(款）机关事业单位职业年金缴费支出（项）：支出决算数为50.63万元，比上年决算增加50.63万元，增长100.00%，主要原因是：自治区执法总队与法律事务中心合并，人员由15人增加至38人，合并后职业年金缴费记实。</w:t>
      </w:r>
    </w:p>
    <w:p w14:paraId="108613D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6</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卫生健康支出（类）行政事业单位医疗（款）行政单位医疗（项）：支出决算数为50.47万元，比上年决算增加50.47万元，增长100.00%，主要原因是：自治区执法总队与法律事务中心合并，人员由15人增加至38人，合并后行政单位医疗支出安排此科目，上年无此科目安排。</w:t>
      </w:r>
    </w:p>
    <w:p w14:paraId="5C257A2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7</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卫生健康支出（类）行政事业单位医疗（款）事业单位医疗（项）：支出决算数为1.20万元，比上年决算增加1.20万元，增长100.00%，主要原因是：按照预算安排，单位事业编在职人员事业单位医疗经费安排在该科目。</w:t>
      </w:r>
    </w:p>
    <w:p w14:paraId="097DED0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8</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卫生健康支出（类）行政事业单位医疗（款）公务员医疗补助（项）：支出决算数为33.45万元，比上年决算增加33.45万元，增长100.00%，主要原因是：自治区执法总队与法律事务中心合并，人员由15人增加至38人，合并后公务员医疗补助支出安排此科目，上年无此科目安排。</w:t>
      </w:r>
    </w:p>
    <w:p w14:paraId="2F24F0F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9</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自然资源海洋气象等支出（类）自然资源事务（款）行政运行（项）：支出决算数为1,217.49万元，比上年决算增加1,119.52万元，增长1,142.72%，主要原因是：自治区执法总队与法律事务中心合并，人员由15人增加至38人，合并后基本支出增长。</w:t>
      </w:r>
    </w:p>
    <w:p w14:paraId="7936219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10</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自然资源海洋气象等支出（类）自然资源事务（款）自然资源行业业务管理（项）：支出决算数为1,057.01万元，比上年决算增加1,057.01万元，增长100.00%，主要原因是：该项支出为自治区自然资源相关条例文件的调研及修订项目、自然资源督察事务中心执法办案补充经费项目，2025年度预算安排在该科目。</w:t>
      </w:r>
    </w:p>
    <w:p w14:paraId="04578B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11</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自然资源海洋气象等支出（类）自然资源事务（款）事业运行（项）：支出决算数为14.63万元，比上年决算减少153.69万元，下降91.31%，主要原因是：人员调整，单位只有1名事业编制职工安排在该科目。</w:t>
      </w:r>
    </w:p>
    <w:p w14:paraId="3A8A717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12</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自然资源海洋气象等支出（类）自然资源事务（款）其他自然资源事务支出（项）：支出决算数为0.00万元，比上年决算减少94.91万元，下降100.00%，主要原因是：上年度自治区自然资源相关条例文件的调研及修订项目经费安排在该科目，本年未安排。</w:t>
      </w:r>
    </w:p>
    <w:p w14:paraId="2F724FB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napToGrid/>
          <w:kern w:val="0"/>
          <w:sz w:val="32"/>
          <w:szCs w:val="32"/>
          <w:highlight w:val="none"/>
          <w:lang w:eastAsia="zh-CN"/>
        </w:rPr>
      </w:pPr>
      <w:r>
        <w:rPr>
          <w:rFonts w:hint="eastAsia" w:ascii="仿宋_GB2312" w:hAnsi="仿宋_GB2312" w:eastAsia="仿宋_GB2312" w:cs="仿宋_GB2312"/>
          <w:snapToGrid/>
          <w:kern w:val="0"/>
          <w:sz w:val="32"/>
          <w:szCs w:val="32"/>
          <w:highlight w:val="none"/>
          <w:lang w:eastAsia="zh-CN"/>
        </w:rPr>
        <w:t>13</w:t>
      </w:r>
      <w:r>
        <w:rPr>
          <w:rFonts w:hint="eastAsia" w:ascii="仿宋_GB2312" w:hAnsi="仿宋_GB2312" w:eastAsia="仿宋_GB2312" w:cs="仿宋_GB2312"/>
          <w:snapToGrid/>
          <w:kern w:val="0"/>
          <w:sz w:val="32"/>
          <w:szCs w:val="32"/>
          <w:highlight w:val="none"/>
          <w:lang w:val="en-US" w:eastAsia="zh-CN"/>
        </w:rPr>
        <w:t>.</w:t>
      </w:r>
      <w:r>
        <w:rPr>
          <w:rFonts w:hint="eastAsia" w:ascii="仿宋_GB2312" w:hAnsi="仿宋_GB2312" w:eastAsia="仿宋_GB2312" w:cs="仿宋_GB2312"/>
          <w:snapToGrid/>
          <w:kern w:val="0"/>
          <w:sz w:val="32"/>
          <w:szCs w:val="32"/>
          <w:highlight w:val="none"/>
          <w:lang w:eastAsia="zh-CN"/>
        </w:rPr>
        <w:t>住房保障支出（类）住房改革支出（款）住房公积金（项）：支出决算数为66.08万元，比上年决算增加66.08万元,增长100.00%，主要原因是：自治区执法总队与法律事务中心合并，人员由15人增加至38人，合并后住房公积金支出安排此科目，上年无此科目安排。</w:t>
      </w:r>
    </w:p>
    <w:p w14:paraId="1521381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snapToGrid/>
          <w:kern w:val="0"/>
          <w:sz w:val="32"/>
          <w:szCs w:val="32"/>
          <w:highlight w:val="none"/>
          <w:lang w:val="en-US" w:eastAsia="zh-CN"/>
        </w:rPr>
      </w:pPr>
      <w:r>
        <w:rPr>
          <w:rFonts w:hint="eastAsia" w:ascii="黑体" w:hAnsi="黑体" w:eastAsia="黑体" w:cs="宋体"/>
          <w:bCs/>
          <w:snapToGrid/>
          <w:kern w:val="0"/>
          <w:sz w:val="32"/>
          <w:szCs w:val="32"/>
          <w:highlight w:val="none"/>
          <w:lang w:val="en-US" w:eastAsia="zh-CN"/>
        </w:rPr>
        <w:t>六、一般公共预算财政拨款基本支出决算情况说明</w:t>
      </w:r>
    </w:p>
    <w:p w14:paraId="5B4E10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2025年度一般公共预算财政拨款基本支出2,319.11万元，其中：人员经费2,276.20万元，包括：基本工资、津贴补贴、奖金、绩效工资、机关事业单位基本养老保险缴费、职业年金缴费、职工基本医疗保险缴费、公务员医疗补助缴费、其他社会保障缴费、住房公积金、退休费、生活补助和其他对个人和家庭的补助。</w:t>
      </w:r>
    </w:p>
    <w:p w14:paraId="296A546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eastAsia" w:ascii="仿宋_GB2312" w:hAnsi="Times New Roman" w:eastAsia="仿宋_GB2312" w:cs="Times New Roman"/>
          <w:snapToGrid/>
          <w:kern w:val="2"/>
          <w:sz w:val="32"/>
          <w:szCs w:val="32"/>
          <w:highlight w:val="none"/>
          <w:lang w:eastAsia="zh-CN"/>
        </w:rPr>
        <w:t>公用经费42.91万元，包括：办公费、电费、邮电费、取暖费、差旅费、工会经费、福利费、其他交通费用和其他商品和服务支出。</w:t>
      </w:r>
    </w:p>
    <w:p w14:paraId="3E717C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snapToGrid/>
          <w:kern w:val="0"/>
          <w:sz w:val="32"/>
          <w:szCs w:val="32"/>
          <w:highlight w:val="none"/>
          <w:lang w:val="en-US" w:eastAsia="zh-CN"/>
        </w:rPr>
      </w:pPr>
      <w:r>
        <w:rPr>
          <w:rFonts w:hint="eastAsia" w:ascii="黑体" w:hAnsi="黑体" w:eastAsia="黑体" w:cs="宋体"/>
          <w:bCs/>
          <w:snapToGrid/>
          <w:kern w:val="0"/>
          <w:sz w:val="32"/>
          <w:szCs w:val="32"/>
          <w:highlight w:val="none"/>
          <w:lang w:val="en-US" w:eastAsia="zh-CN"/>
        </w:rPr>
        <w:t>七、政府性基金预算财政拨款收入支出决算情况说明</w:t>
      </w:r>
    </w:p>
    <w:p w14:paraId="24F0701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本单位本年度无政府性基金预算财政拨款收入、支出及结转和结余，政府性基金预算财政拨款收入支出决算表为空表。</w:t>
      </w:r>
    </w:p>
    <w:p w14:paraId="274D7722">
      <w:pPr>
        <w:pStyle w:val="2"/>
        <w:numPr>
          <w:ilvl w:val="0"/>
          <w:numId w:val="0"/>
        </w:numPr>
        <w:spacing w:line="240" w:lineRule="auto"/>
        <w:ind w:left="0" w:leftChars="0" w:right="0" w:rightChars="0" w:firstLine="640" w:firstLineChars="200"/>
        <w:rPr>
          <w:rFonts w:hint="eastAsia" w:ascii="黑体" w:hAnsi="黑体" w:eastAsia="黑体" w:cs="宋体"/>
          <w:bCs/>
          <w:snapToGrid/>
          <w:color w:val="000000"/>
          <w:kern w:val="0"/>
          <w:sz w:val="32"/>
          <w:szCs w:val="32"/>
          <w:highlight w:val="none"/>
          <w:lang w:val="en-US" w:eastAsia="zh-CN" w:bidi="ar-SA"/>
        </w:rPr>
      </w:pPr>
      <w:r>
        <w:rPr>
          <w:rFonts w:hint="eastAsia" w:ascii="黑体" w:hAnsi="黑体" w:eastAsia="黑体" w:cs="宋体"/>
          <w:bCs/>
          <w:snapToGrid/>
          <w:color w:val="000000"/>
          <w:kern w:val="0"/>
          <w:sz w:val="32"/>
          <w:szCs w:val="32"/>
          <w:lang w:val="en-US" w:eastAsia="zh-CN" w:bidi="ar-SA"/>
        </w:rPr>
        <w:t>八、</w:t>
      </w:r>
      <w:r>
        <w:rPr>
          <w:rFonts w:hint="eastAsia" w:ascii="黑体" w:hAnsi="黑体" w:eastAsia="黑体" w:cs="宋体"/>
          <w:bCs/>
          <w:snapToGrid/>
          <w:color w:val="000000"/>
          <w:kern w:val="0"/>
          <w:sz w:val="32"/>
          <w:szCs w:val="32"/>
          <w:highlight w:val="none"/>
          <w:lang w:val="en-US" w:eastAsia="zh-CN" w:bidi="ar-SA"/>
        </w:rPr>
        <w:t>国有资本经营预算财政拨款收入支出决算情况说明</w:t>
      </w:r>
    </w:p>
    <w:p w14:paraId="5DE23D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本单位本年度无国有资本经营预算财政拨款收入、支出及结转和结余，国有资本经营预算财政拨款收入支出决算表为空表。</w:t>
      </w:r>
    </w:p>
    <w:p w14:paraId="38AF394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snapToGrid/>
          <w:kern w:val="0"/>
          <w:sz w:val="32"/>
          <w:szCs w:val="32"/>
          <w:highlight w:val="none"/>
          <w:lang w:val="en-US" w:eastAsia="zh-CN"/>
        </w:rPr>
      </w:pPr>
      <w:r>
        <w:rPr>
          <w:rFonts w:hint="eastAsia" w:ascii="黑体" w:hAnsi="黑体" w:eastAsia="黑体" w:cs="宋体"/>
          <w:bCs/>
          <w:snapToGrid/>
          <w:kern w:val="0"/>
          <w:sz w:val="32"/>
          <w:szCs w:val="32"/>
          <w:highlight w:val="none"/>
          <w:lang w:val="en-US" w:eastAsia="zh-CN"/>
        </w:rPr>
        <w:t>九、财政拨款“三公”经费支出决算情况说明</w:t>
      </w:r>
    </w:p>
    <w:p w14:paraId="00105DB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2025年度财政拨款“三公”经费支出14.22万元，比上年增加11.72万元，增长468.80%，主要原因是：自治区执法总队与法律事务中心合并，人员增加，职能增加，“三公”经费增长。其中：因公出国（境）费用支出0.00万元,占0.00%，比上年增加0.00万元，增长0.00%，主要原因是：</w:t>
      </w:r>
      <w:r>
        <w:rPr>
          <w:rFonts w:hint="eastAsia" w:ascii="仿宋_GB2312" w:hAnsi="Times New Roman" w:eastAsia="仿宋_GB2312" w:cs="Times New Roman"/>
          <w:snapToGrid/>
          <w:kern w:val="2"/>
          <w:sz w:val="32"/>
          <w:szCs w:val="32"/>
          <w:highlight w:val="none"/>
          <w:lang w:val="en-US" w:eastAsia="zh-CN"/>
        </w:rPr>
        <w:t>2024年与2025年均</w:t>
      </w:r>
      <w:r>
        <w:rPr>
          <w:rFonts w:hint="eastAsia" w:ascii="仿宋_GB2312" w:hAnsi="Times New Roman" w:eastAsia="仿宋_GB2312" w:cs="Times New Roman"/>
          <w:snapToGrid/>
          <w:kern w:val="2"/>
          <w:sz w:val="32"/>
          <w:szCs w:val="32"/>
          <w:highlight w:val="none"/>
          <w:lang w:eastAsia="zh-CN"/>
        </w:rPr>
        <w:t>未发生因公出国（境）费用；公务用车购置及运行维护费支出14.22万元，占100.00%，比上年增加11.72万元，增长468.80%，主要原因是：自治区执法总队与法律事务中心合并，人员增加，职能增加，执法执勤车辆数量增加，公务用车运行经费增长；公务接待费支出0.00万元，占0.00%，比上年增加0.00万元，增长0.00%，主要原因是：</w:t>
      </w:r>
      <w:r>
        <w:rPr>
          <w:rFonts w:hint="eastAsia" w:ascii="仿宋_GB2312" w:hAnsi="Times New Roman" w:eastAsia="仿宋_GB2312" w:cs="Times New Roman"/>
          <w:snapToGrid/>
          <w:kern w:val="2"/>
          <w:sz w:val="32"/>
          <w:szCs w:val="32"/>
          <w:highlight w:val="none"/>
          <w:lang w:val="en-US" w:eastAsia="zh-CN"/>
        </w:rPr>
        <w:t>2024年与2025年均</w:t>
      </w:r>
      <w:r>
        <w:rPr>
          <w:rFonts w:hint="eastAsia" w:ascii="仿宋_GB2312" w:hAnsi="Times New Roman" w:eastAsia="仿宋_GB2312" w:cs="Times New Roman"/>
          <w:snapToGrid/>
          <w:kern w:val="2"/>
          <w:sz w:val="32"/>
          <w:szCs w:val="32"/>
          <w:highlight w:val="none"/>
          <w:lang w:eastAsia="zh-CN"/>
        </w:rPr>
        <w:t>未发生公务接待费。</w:t>
      </w:r>
    </w:p>
    <w:p w14:paraId="61E7B7D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具体情况如下：</w:t>
      </w:r>
    </w:p>
    <w:p w14:paraId="3E30810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因公出国（境）费用0.00万元，开支内容包括当年未发生因公出国（境）费用。单位全年安排的因公出国（境）团组0个，因公出国（境）0人次。</w:t>
      </w:r>
    </w:p>
    <w:p w14:paraId="42FB7FB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公务用车购置及运行维护费14.22万元，其中：公务用车购置费0.00万元，公务用车运行维护费14.22万元。公务用车运行维护费开支内容包括公务车辆保险费、公务车辆燃油费、公务车辆维修费、车辆通行费用。公务用车购置数0辆，公务用车保有量7辆。国有资产占用情况中固定资产车辆7辆，与公务用车保有量差异原因是：公务用车保有量与固定资产车辆一致，无差异。</w:t>
      </w:r>
    </w:p>
    <w:p w14:paraId="464EBA2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公务接待费0.00万元，开支内容包括当年未发生公务接待费。单位全年安排的国内公务接待0批次，0人次。</w:t>
      </w:r>
    </w:p>
    <w:p w14:paraId="5A340B6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eastAsia" w:ascii="仿宋_GB2312" w:hAnsi="Times New Roman" w:eastAsia="仿宋_GB2312" w:cs="Times New Roman"/>
          <w:snapToGrid/>
          <w:kern w:val="2"/>
          <w:sz w:val="32"/>
          <w:szCs w:val="32"/>
          <w:highlight w:val="none"/>
          <w:lang w:eastAsia="zh-CN"/>
        </w:rPr>
        <w:t>与全年预算相比，财政拨款“三公”经费支出全年预算数18.00万元，决算数14.22万元，预决算差异率-21.00%，主要原因是：严格落实中央八项规定精神，厉行节约，减少经费支出。其中：因公出国（境）费用全年预算数0.00万元，决算数0.00万元，预决算差异率0.00%，主要原因是：当年未发生因公出国（境）费用；公务用车购置费全年预算数0.00万元，决算数0.00万元，预决算差异率0.00%，主要原因是：当年未发生公务用车购置费；公务用车运行维护费全年预算数18.00万元，决算数14.22万元，预决算差异率-21.00%，主要原因是：严格落实中央八项规定精神，厉行节约，减少公务用车运行维护费支出；公务接待费全年预算数0.00万元，决算数0.00万元，预决算差异率0.00%，主要原因是：当年未发生公务接待费。</w:t>
      </w:r>
    </w:p>
    <w:p w14:paraId="1C91121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snapToGrid/>
          <w:kern w:val="0"/>
          <w:sz w:val="32"/>
          <w:szCs w:val="32"/>
          <w:highlight w:val="none"/>
          <w:lang w:val="en-US" w:eastAsia="zh-CN"/>
        </w:rPr>
      </w:pPr>
      <w:r>
        <w:rPr>
          <w:rFonts w:hint="eastAsia" w:ascii="黑体" w:hAnsi="黑体" w:eastAsia="黑体" w:cs="宋体"/>
          <w:bCs/>
          <w:snapToGrid/>
          <w:kern w:val="0"/>
          <w:sz w:val="32"/>
          <w:szCs w:val="32"/>
          <w:highlight w:val="none"/>
          <w:lang w:val="en-US" w:eastAsia="zh-CN"/>
        </w:rPr>
        <w:t>十、其他重要事项的情况说明</w:t>
      </w:r>
    </w:p>
    <w:p w14:paraId="623B4F1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2"/>
        <w:rPr>
          <w:rFonts w:hint="eastAsia" w:ascii="楷体_GB2312" w:hAnsi="楷体_GB2312" w:eastAsia="楷体_GB2312" w:cs="楷体_GB2312"/>
          <w:b/>
          <w:bCs/>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（一）机关运行经费及公用经费支出情况</w:t>
      </w:r>
    </w:p>
    <w:p w14:paraId="42513C1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eastAsia" w:ascii="仿宋_GB2312" w:hAnsi="Times New Roman" w:eastAsia="仿宋_GB2312" w:cs="Times New Roman"/>
          <w:snapToGrid/>
          <w:kern w:val="2"/>
          <w:sz w:val="32"/>
          <w:szCs w:val="32"/>
          <w:highlight w:val="none"/>
          <w:lang w:eastAsia="zh-CN"/>
        </w:rPr>
        <w:t>2025年度新疆维吾尔自治区自然资源督察事务中心(行政单位和参照公务员法管理事业单位）机关运行经费支出42.91万元，比上年增加32.55万元，增长314.19%，主要原因是：自治区执法总队与法律事务中心合并，人员增加，职能增加,机关运行经费增长。</w:t>
      </w:r>
    </w:p>
    <w:p w14:paraId="469439A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2"/>
        <w:rPr>
          <w:rFonts w:hint="eastAsia" w:ascii="楷体_GB2312" w:hAnsi="楷体_GB2312" w:eastAsia="楷体_GB2312" w:cs="楷体_GB2312"/>
          <w:b/>
          <w:bCs/>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（二）政府采购情况</w:t>
      </w:r>
    </w:p>
    <w:p w14:paraId="6523A2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2025年度政府采购支出总额196.53万元，其中：政府采购货物支出11.64万元、政府采购工程支出0.00万元、政府采购服务支出184.89万元。</w:t>
      </w:r>
    </w:p>
    <w:p w14:paraId="5E451DE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eastAsia="zh-CN"/>
        </w:rPr>
      </w:pPr>
      <w:r>
        <w:rPr>
          <w:rFonts w:hint="eastAsia" w:ascii="仿宋_GB2312" w:hAnsi="Times New Roman" w:eastAsia="仿宋_GB2312" w:cs="Times New Roman"/>
          <w:snapToGrid/>
          <w:kern w:val="2"/>
          <w:sz w:val="32"/>
          <w:szCs w:val="32"/>
          <w:highlight w:val="none"/>
          <w:lang w:eastAsia="zh-CN"/>
        </w:rPr>
        <w:t>授予中小企业合同金额71.75万元，占政府采购支出总额的36.51%，其中：授予小微企业合同金额40.15万元，占政府采购支出总额的20.43%。</w:t>
      </w:r>
    </w:p>
    <w:p w14:paraId="27CC3AD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2"/>
        <w:rPr>
          <w:rFonts w:hint="eastAsia" w:ascii="楷体_GB2312" w:hAnsi="楷体_GB2312" w:eastAsia="楷体_GB2312" w:cs="楷体_GB2312"/>
          <w:b/>
          <w:bCs/>
          <w:snapToGrid/>
          <w:kern w:val="2"/>
          <w:sz w:val="32"/>
          <w:szCs w:val="32"/>
          <w:highlight w:val="none"/>
          <w:lang w:eastAsia="zh-CN"/>
        </w:rPr>
      </w:pPr>
      <w:r>
        <w:rPr>
          <w:rFonts w:hint="eastAsia" w:ascii="楷体_GB2312" w:hAnsi="楷体_GB2312" w:eastAsia="楷体_GB2312" w:cs="楷体_GB2312"/>
          <w:b/>
          <w:bCs/>
          <w:snapToGrid/>
          <w:kern w:val="2"/>
          <w:sz w:val="32"/>
          <w:szCs w:val="32"/>
          <w:highlight w:val="none"/>
          <w:lang w:eastAsia="zh-CN"/>
        </w:rPr>
        <w:t>（三）国有资产占用情况说明</w:t>
      </w:r>
    </w:p>
    <w:p w14:paraId="493317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eastAsia" w:ascii="仿宋_GB2312" w:hAnsi="Times New Roman" w:eastAsia="仿宋_GB2312" w:cs="Times New Roman"/>
          <w:snapToGrid/>
          <w:kern w:val="2"/>
          <w:sz w:val="32"/>
          <w:szCs w:val="32"/>
          <w:highlight w:val="none"/>
          <w:lang w:eastAsia="zh-CN"/>
        </w:rPr>
        <w:t>截至2025年12月31日，房屋0.00平方米，价值0.00万元。车辆7辆，价值269.89万元，其中：副部（省）级及以上领导用车0辆、主要负责人用车0辆、机要通信用车0辆、应急保障用车0辆、执法执勤用车4辆、特种专业技术用车0辆、离退休干部服务用车0辆、其他用车3辆，其他用车主要是：一般公务用车；单价100万元（含）以上设备（不含车辆）2台（套）。</w:t>
      </w:r>
    </w:p>
    <w:p w14:paraId="53290A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snapToGrid/>
          <w:kern w:val="0"/>
          <w:sz w:val="32"/>
          <w:szCs w:val="32"/>
          <w:highlight w:val="none"/>
          <w:lang w:val="en-US" w:eastAsia="zh-CN"/>
        </w:rPr>
      </w:pPr>
      <w:r>
        <w:rPr>
          <w:rFonts w:hint="eastAsia" w:ascii="黑体" w:hAnsi="黑体" w:eastAsia="黑体" w:cs="宋体"/>
          <w:bCs/>
          <w:snapToGrid/>
          <w:kern w:val="0"/>
          <w:sz w:val="32"/>
          <w:szCs w:val="32"/>
          <w:highlight w:val="none"/>
          <w:lang w:val="en-US" w:eastAsia="zh-CN"/>
        </w:rPr>
        <w:t>十一、预算绩效的情况说明</w:t>
      </w:r>
    </w:p>
    <w:p w14:paraId="7369C5E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Arial"/>
          <w:sz w:val="21"/>
        </w:rPr>
      </w:pPr>
      <w:r>
        <w:rPr>
          <w:rFonts w:hint="eastAsia" w:ascii="仿宋_GB2312" w:hAnsi="Times New Roman" w:eastAsia="仿宋_GB2312" w:cs="Times New Roman"/>
          <w:snapToGrid/>
          <w:kern w:val="2"/>
          <w:sz w:val="32"/>
          <w:szCs w:val="32"/>
          <w:highlight w:val="none"/>
          <w:lang w:val="en-US" w:eastAsia="zh-CN"/>
        </w:rPr>
        <w:t>根据预算绩效管理要求，本单位2025年度预算绩效评价项目3个，全年预算数1,340.00万元，全年执行数1,137.23万元。预算绩效管理取得的成效：完成了自治区职责权限内自然资源违法案件查处的相关工作，依法组织和实施自治区重大以及跨地州、跨区域、跨兵地土地、矿产、国土空间规划、测绘等违法案件的调查、取证等工作，确保执法工作得到突破。发现的问题及原因：预算绩效指标设置不够细化，预算执行不够均衡，项目内容与绩效目标匹配度偏低，原因是绩效指标还需完善，预算精细化管理还需完善。下一步改进措施：一是加强预算绩效目标管理工作。明确预算项目绩效目标编制要求，细化绩效指标编制，二是加强业务学习和培训，</w:t>
      </w:r>
      <w:bookmarkStart w:id="20" w:name="_GoBack"/>
      <w:r>
        <w:rPr>
          <w:rFonts w:hint="eastAsia" w:ascii="仿宋_GB2312" w:hAnsi="Times New Roman" w:eastAsia="仿宋_GB2312" w:cs="Times New Roman"/>
          <w:snapToGrid/>
          <w:kern w:val="2"/>
          <w:sz w:val="32"/>
          <w:szCs w:val="32"/>
          <w:highlight w:val="none"/>
          <w:lang w:val="en-US" w:eastAsia="zh-CN"/>
        </w:rPr>
        <w:t>增强</w:t>
      </w:r>
      <w:bookmarkEnd w:id="20"/>
      <w:r>
        <w:rPr>
          <w:rFonts w:hint="eastAsia" w:ascii="仿宋_GB2312" w:hAnsi="Times New Roman" w:eastAsia="仿宋_GB2312" w:cs="Times New Roman"/>
          <w:snapToGrid/>
          <w:kern w:val="2"/>
          <w:sz w:val="32"/>
          <w:szCs w:val="32"/>
          <w:highlight w:val="none"/>
          <w:lang w:val="en-US" w:eastAsia="zh-CN"/>
        </w:rPr>
        <w:t>项目实施人员绩效管理意识，通过专业培训，进一步提高绩效管理业务水平，提高工作能力。具体附项目支出绩效自评表。</w:t>
      </w:r>
    </w:p>
    <w:p w14:paraId="7D2DCC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黑体" w:hAnsi="黑体" w:eastAsia="黑体" w:cs="宋体"/>
          <w:bCs/>
          <w:snapToGrid/>
          <w:kern w:val="0"/>
          <w:sz w:val="32"/>
          <w:szCs w:val="32"/>
          <w:highlight w:val="none"/>
          <w:lang w:val="en-US" w:eastAsia="zh-CN"/>
        </w:rPr>
      </w:pPr>
      <w:r>
        <w:rPr>
          <w:rFonts w:hint="eastAsia" w:ascii="黑体" w:hAnsi="黑体" w:eastAsia="黑体" w:cs="宋体"/>
          <w:bCs/>
          <w:snapToGrid/>
          <w:kern w:val="0"/>
          <w:sz w:val="32"/>
          <w:szCs w:val="32"/>
          <w:highlight w:val="none"/>
          <w:lang w:val="en-US" w:eastAsia="zh-CN"/>
        </w:rPr>
        <w:t>十二、其他需说明的事项</w:t>
      </w:r>
    </w:p>
    <w:p w14:paraId="14593D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val="en-US" w:eastAsia="zh-CN"/>
        </w:rPr>
      </w:pPr>
      <w:r>
        <w:rPr>
          <w:rFonts w:hint="eastAsia" w:ascii="仿宋_GB2312" w:hAnsi="Times New Roman" w:eastAsia="仿宋_GB2312" w:cs="Times New Roman"/>
          <w:snapToGrid/>
          <w:kern w:val="2"/>
          <w:sz w:val="32"/>
          <w:szCs w:val="32"/>
          <w:highlight w:val="none"/>
          <w:lang w:val="en-US" w:eastAsia="zh-CN"/>
        </w:rPr>
        <w:t>本单位无其他需说明的事项。</w:t>
      </w:r>
    </w:p>
    <w:p w14:paraId="004F409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Times New Roman" w:eastAsia="仿宋_GB2312" w:cs="Times New Roman"/>
          <w:snapToGrid/>
          <w:kern w:val="2"/>
          <w:sz w:val="32"/>
          <w:szCs w:val="32"/>
          <w:highlight w:val="none"/>
          <w:lang w:val="en-US" w:eastAsia="zh-CN"/>
        </w:rPr>
        <w:sectPr>
          <w:pgSz w:w="12240" w:h="15840"/>
          <w:pgMar w:top="1346" w:right="1800" w:bottom="0" w:left="1800" w:header="0" w:footer="0" w:gutter="0"/>
          <w:cols w:space="720" w:num="1"/>
        </w:sectPr>
      </w:pPr>
    </w:p>
    <w:p w14:paraId="0B427514">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黑体" w:hAnsi="黑体" w:eastAsia="黑体"/>
          <w:sz w:val="32"/>
          <w:szCs w:val="32"/>
          <w:highlight w:val="none"/>
        </w:rPr>
      </w:pPr>
      <w:bookmarkStart w:id="0" w:name="_Toc30038"/>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0"/>
    </w:p>
    <w:p w14:paraId="28E83554">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一、</w:t>
      </w:r>
      <w:r>
        <w:rPr>
          <w:rFonts w:hint="eastAsia" w:ascii="仿宋_GB2312" w:eastAsia="仿宋_GB2312"/>
          <w:b/>
          <w:bCs/>
          <w:sz w:val="32"/>
          <w:szCs w:val="32"/>
          <w:highlight w:val="none"/>
          <w:shd w:val="clear" w:color="auto" w:fill="auto"/>
        </w:rPr>
        <w:t>财政拨款收入：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单位本年度从</w:t>
      </w:r>
      <w:r>
        <w:rPr>
          <w:rFonts w:hint="eastAsia" w:eastAsia="仿宋_GB2312"/>
          <w:bCs/>
          <w:sz w:val="32"/>
          <w:szCs w:val="32"/>
          <w:highlight w:val="none"/>
          <w:shd w:val="clear" w:color="auto" w:fill="auto"/>
        </w:rPr>
        <w:t>同级</w:t>
      </w:r>
      <w:r>
        <w:rPr>
          <w:rFonts w:eastAsia="仿宋_GB2312"/>
          <w:bCs/>
          <w:sz w:val="32"/>
          <w:szCs w:val="32"/>
          <w:highlight w:val="none"/>
          <w:shd w:val="clear" w:color="auto" w:fill="auto"/>
        </w:rPr>
        <w:t>财政部门取得的财政拨款，包括</w:t>
      </w:r>
      <w:r>
        <w:rPr>
          <w:rFonts w:eastAsia="仿宋_GB2312"/>
          <w:bCs/>
          <w:spacing w:val="6"/>
          <w:sz w:val="32"/>
          <w:szCs w:val="32"/>
          <w:highlight w:val="none"/>
          <w:shd w:val="clear" w:color="auto" w:fill="auto"/>
        </w:rPr>
        <w:t>一般公共预算财政拨款</w:t>
      </w:r>
      <w:r>
        <w:rPr>
          <w:rFonts w:eastAsia="仿宋_GB2312"/>
          <w:bCs/>
          <w:sz w:val="32"/>
          <w:szCs w:val="32"/>
          <w:highlight w:val="none"/>
          <w:shd w:val="clear" w:color="auto" w:fill="auto"/>
        </w:rPr>
        <w:t>、政府性基金预算财政拨款和国有资本经营预算财政拨款。</w:t>
      </w:r>
    </w:p>
    <w:p w14:paraId="1715510D">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二、</w:t>
      </w:r>
      <w:r>
        <w:rPr>
          <w:rFonts w:hint="eastAsia" w:ascii="仿宋_GB2312" w:eastAsia="仿宋_GB2312"/>
          <w:b/>
          <w:bCs/>
          <w:sz w:val="32"/>
          <w:szCs w:val="32"/>
          <w:highlight w:val="none"/>
          <w:shd w:val="clear" w:color="auto" w:fill="auto"/>
        </w:rPr>
        <w:t>上级补助收入：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事业单位从主管部门和上级单位取得的非财政补助收入。</w:t>
      </w:r>
    </w:p>
    <w:p w14:paraId="0442808F">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三、</w:t>
      </w:r>
      <w:r>
        <w:rPr>
          <w:rFonts w:hint="eastAsia" w:ascii="仿宋_GB2312" w:eastAsia="仿宋_GB2312"/>
          <w:b/>
          <w:bCs/>
          <w:sz w:val="32"/>
          <w:szCs w:val="32"/>
          <w:highlight w:val="none"/>
          <w:shd w:val="clear" w:color="auto" w:fill="auto"/>
        </w:rPr>
        <w:t>事业收入：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事业单位开展专业业务活动及其辅助活动取得的收入。</w:t>
      </w:r>
    </w:p>
    <w:p w14:paraId="3C084BBF">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四、</w:t>
      </w:r>
      <w:r>
        <w:rPr>
          <w:rFonts w:hint="eastAsia" w:ascii="仿宋_GB2312" w:eastAsia="仿宋_GB2312"/>
          <w:b/>
          <w:bCs/>
          <w:sz w:val="32"/>
          <w:szCs w:val="32"/>
          <w:highlight w:val="none"/>
          <w:shd w:val="clear" w:color="auto" w:fill="auto"/>
        </w:rPr>
        <w:t>经营收入：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事业单位在专业业务活动及其辅助活动之外开展非独立核算经营活动取得的收入。</w:t>
      </w:r>
    </w:p>
    <w:p w14:paraId="394AA587">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五、</w:t>
      </w:r>
      <w:r>
        <w:rPr>
          <w:rFonts w:hint="eastAsia" w:ascii="仿宋_GB2312" w:eastAsia="仿宋_GB2312"/>
          <w:b/>
          <w:bCs/>
          <w:sz w:val="32"/>
          <w:szCs w:val="32"/>
          <w:highlight w:val="none"/>
          <w:shd w:val="clear" w:color="auto" w:fill="auto"/>
        </w:rPr>
        <w:t>附属单位上缴收入：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事业单位附</w:t>
      </w:r>
      <w:r>
        <w:rPr>
          <w:rFonts w:hint="eastAsia" w:eastAsia="仿宋_GB2312"/>
          <w:bCs/>
          <w:sz w:val="32"/>
          <w:szCs w:val="32"/>
          <w:highlight w:val="none"/>
          <w:shd w:val="clear" w:color="auto" w:fill="auto"/>
        </w:rPr>
        <w:t>属</w:t>
      </w:r>
      <w:r>
        <w:rPr>
          <w:rFonts w:eastAsia="仿宋_GB2312"/>
          <w:bCs/>
          <w:sz w:val="32"/>
          <w:szCs w:val="32"/>
          <w:highlight w:val="none"/>
          <w:shd w:val="clear" w:color="auto" w:fill="auto"/>
        </w:rPr>
        <w:t>独立核算单位按照有关规定上缴的收入。</w:t>
      </w:r>
    </w:p>
    <w:p w14:paraId="06AC6F12">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六、</w:t>
      </w:r>
      <w:r>
        <w:rPr>
          <w:rFonts w:hint="eastAsia" w:ascii="仿宋_GB2312" w:eastAsia="仿宋_GB2312"/>
          <w:b/>
          <w:bCs/>
          <w:sz w:val="32"/>
          <w:szCs w:val="32"/>
          <w:highlight w:val="none"/>
          <w:shd w:val="clear" w:color="auto" w:fill="auto"/>
        </w:rPr>
        <w:t>其他收入：</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单位取得的</w:t>
      </w:r>
      <w:r>
        <w:rPr>
          <w:rFonts w:hint="eastAsia" w:ascii="仿宋_GB2312" w:eastAsia="仿宋_GB2312"/>
          <w:sz w:val="32"/>
          <w:szCs w:val="32"/>
          <w:highlight w:val="none"/>
          <w:shd w:val="clear" w:color="auto" w:fill="auto"/>
        </w:rPr>
        <w:t>除上述“财政拨款收入”、“上级补助收入”、“事业收入”、“经营收入”、“附属单位上缴收入”</w:t>
      </w:r>
      <w:r>
        <w:rPr>
          <w:rFonts w:eastAsia="仿宋_GB2312"/>
          <w:bCs/>
          <w:sz w:val="32"/>
          <w:szCs w:val="32"/>
          <w:highlight w:val="none"/>
          <w:shd w:val="clear" w:color="auto" w:fill="auto"/>
        </w:rPr>
        <w:t>以外的各项收入。</w:t>
      </w:r>
    </w:p>
    <w:p w14:paraId="10AD75D7">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b w:val="0"/>
          <w:bCs w:val="0"/>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七、</w:t>
      </w:r>
      <w:r>
        <w:rPr>
          <w:rFonts w:hint="eastAsia" w:ascii="仿宋_GB2312" w:eastAsia="仿宋_GB2312"/>
          <w:b/>
          <w:bCs/>
          <w:sz w:val="32"/>
          <w:szCs w:val="32"/>
          <w:highlight w:val="none"/>
          <w:shd w:val="clear" w:color="auto" w:fill="auto"/>
          <w:lang w:eastAsia="zh-CN"/>
        </w:rPr>
        <w:t>年初</w:t>
      </w:r>
      <w:r>
        <w:rPr>
          <w:rFonts w:hint="eastAsia" w:ascii="仿宋_GB2312" w:eastAsia="仿宋_GB2312"/>
          <w:b/>
          <w:bCs/>
          <w:sz w:val="32"/>
          <w:szCs w:val="32"/>
          <w:highlight w:val="none"/>
          <w:shd w:val="clear" w:color="auto" w:fill="auto"/>
        </w:rPr>
        <w:t>结转和结余：</w:t>
      </w:r>
      <w:r>
        <w:rPr>
          <w:rFonts w:hint="eastAsia" w:ascii="仿宋_GB2312" w:eastAsia="仿宋_GB2312"/>
          <w:b w:val="0"/>
          <w:bCs w:val="0"/>
          <w:sz w:val="32"/>
          <w:szCs w:val="32"/>
          <w:highlight w:val="none"/>
          <w:shd w:val="clear" w:color="auto" w:fill="auto"/>
        </w:rPr>
        <w:t>指单位上年结转本年使用的基本支出结转、项目支出结转和结余、经营结余。</w:t>
      </w:r>
    </w:p>
    <w:p w14:paraId="1C99F26C">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八、</w:t>
      </w:r>
      <w:r>
        <w:rPr>
          <w:rFonts w:eastAsia="仿宋_GB2312"/>
          <w:b/>
          <w:bCs w:val="0"/>
          <w:sz w:val="32"/>
          <w:szCs w:val="32"/>
          <w:highlight w:val="none"/>
          <w:shd w:val="clear" w:color="auto" w:fill="auto"/>
        </w:rPr>
        <w:t>使用非财政拨款结余</w:t>
      </w:r>
      <w:r>
        <w:rPr>
          <w:rFonts w:hint="eastAsia" w:eastAsia="仿宋_GB2312"/>
          <w:b/>
          <w:bCs w:val="0"/>
          <w:sz w:val="32"/>
          <w:szCs w:val="32"/>
          <w:highlight w:val="none"/>
          <w:shd w:val="clear" w:color="auto" w:fill="auto"/>
        </w:rPr>
        <w:t>（含专用结余）</w:t>
      </w:r>
      <w:r>
        <w:rPr>
          <w:rFonts w:eastAsia="仿宋_GB2312"/>
          <w:b/>
          <w:bCs w:val="0"/>
          <w:sz w:val="32"/>
          <w:szCs w:val="32"/>
          <w:highlight w:val="none"/>
          <w:shd w:val="clear" w:color="auto" w:fill="auto"/>
        </w:rPr>
        <w:t>：</w:t>
      </w:r>
      <w:r>
        <w:rPr>
          <w:rFonts w:hint="eastAsia" w:ascii="仿宋_GB2312" w:eastAsia="仿宋_GB2312"/>
          <w:b w:val="0"/>
          <w:bCs w:val="0"/>
          <w:sz w:val="32"/>
          <w:szCs w:val="32"/>
          <w:highlight w:val="none"/>
          <w:shd w:val="clear" w:color="auto" w:fill="auto"/>
        </w:rPr>
        <w:t>指</w:t>
      </w:r>
      <w:r>
        <w:rPr>
          <w:rFonts w:hint="eastAsia" w:eastAsia="仿宋_GB2312"/>
          <w:bCs/>
          <w:sz w:val="32"/>
          <w:szCs w:val="32"/>
          <w:highlight w:val="none"/>
          <w:shd w:val="clear" w:color="auto" w:fill="auto"/>
        </w:rPr>
        <w:t>单位</w:t>
      </w:r>
      <w:r>
        <w:rPr>
          <w:rFonts w:eastAsia="仿宋_GB2312"/>
          <w:bCs/>
          <w:sz w:val="32"/>
          <w:szCs w:val="32"/>
          <w:highlight w:val="none"/>
          <w:shd w:val="clear" w:color="auto" w:fill="auto"/>
        </w:rPr>
        <w:t>按照预算管理要求使用非财政拨款结余弥补收支差额的金额</w:t>
      </w:r>
      <w:r>
        <w:rPr>
          <w:rFonts w:hint="eastAsia" w:eastAsia="仿宋_GB2312"/>
          <w:bCs/>
          <w:sz w:val="32"/>
          <w:szCs w:val="32"/>
          <w:highlight w:val="none"/>
          <w:shd w:val="clear" w:color="auto" w:fill="auto"/>
        </w:rPr>
        <w:t>，以及使用专用结余安排支出的金额</w:t>
      </w:r>
      <w:r>
        <w:rPr>
          <w:rFonts w:eastAsia="仿宋_GB2312"/>
          <w:bCs/>
          <w:sz w:val="32"/>
          <w:szCs w:val="32"/>
          <w:highlight w:val="none"/>
          <w:shd w:val="clear" w:color="auto" w:fill="auto"/>
        </w:rPr>
        <w:t>。</w:t>
      </w:r>
    </w:p>
    <w:p w14:paraId="1B4E4AC1">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九、</w:t>
      </w:r>
      <w:r>
        <w:rPr>
          <w:rFonts w:eastAsia="仿宋_GB2312"/>
          <w:b/>
          <w:bCs w:val="0"/>
          <w:sz w:val="32"/>
          <w:szCs w:val="32"/>
          <w:highlight w:val="none"/>
          <w:shd w:val="clear" w:color="auto" w:fill="auto"/>
        </w:rPr>
        <w:t>结余分配：</w:t>
      </w:r>
      <w:r>
        <w:rPr>
          <w:rFonts w:hint="eastAsia" w:ascii="仿宋_GB2312" w:eastAsia="仿宋_GB2312"/>
          <w:b w:val="0"/>
          <w:bCs w:val="0"/>
          <w:sz w:val="32"/>
          <w:szCs w:val="32"/>
          <w:highlight w:val="none"/>
          <w:shd w:val="clear" w:color="auto" w:fill="auto"/>
        </w:rPr>
        <w:t>指</w:t>
      </w:r>
      <w:r>
        <w:rPr>
          <w:rFonts w:eastAsia="仿宋_GB2312"/>
          <w:bCs/>
          <w:sz w:val="32"/>
          <w:szCs w:val="32"/>
          <w:highlight w:val="none"/>
          <w:shd w:val="clear" w:color="auto" w:fill="auto"/>
        </w:rPr>
        <w:t>单位缴纳企业所得税以及从非财政拨款结余或经营结余中提取各类结余的情况。</w:t>
      </w:r>
    </w:p>
    <w:p w14:paraId="40DC1EFC">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w:t>
      </w:r>
      <w:r>
        <w:rPr>
          <w:rFonts w:hint="eastAsia" w:ascii="仿宋_GB2312" w:eastAsia="仿宋_GB2312"/>
          <w:b/>
          <w:bCs/>
          <w:sz w:val="32"/>
          <w:szCs w:val="32"/>
          <w:highlight w:val="none"/>
          <w:shd w:val="clear" w:color="auto" w:fill="auto"/>
        </w:rPr>
        <w:t>年末结转和结余：</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单位结转下年的基本支出结转、项目支出结转和结余、经营结余。</w:t>
      </w:r>
    </w:p>
    <w:p w14:paraId="376CCEBA">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十一、</w:t>
      </w:r>
      <w:r>
        <w:rPr>
          <w:rFonts w:hint="eastAsia" w:ascii="仿宋_GB2312" w:eastAsia="仿宋_GB2312"/>
          <w:b/>
          <w:bCs/>
          <w:sz w:val="32"/>
          <w:szCs w:val="32"/>
          <w:highlight w:val="none"/>
          <w:shd w:val="clear" w:color="auto" w:fill="auto"/>
        </w:rPr>
        <w:t>基本支出：</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单位为保障机构正常运转、完成日常工作任务而发生的各项支出。</w:t>
      </w:r>
    </w:p>
    <w:p w14:paraId="053A0473">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eastAsia="仿宋_GB2312"/>
          <w:bCs/>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十二、</w:t>
      </w:r>
      <w:r>
        <w:rPr>
          <w:rFonts w:hint="eastAsia" w:ascii="仿宋_GB2312" w:eastAsia="仿宋_GB2312"/>
          <w:b/>
          <w:bCs/>
          <w:sz w:val="32"/>
          <w:szCs w:val="32"/>
          <w:highlight w:val="none"/>
          <w:shd w:val="clear" w:color="auto" w:fill="auto"/>
        </w:rPr>
        <w:t>项目支出：</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单位为完成特定的行政工作任务或事业发展目标，在基本支出之外发生的各项支出。</w:t>
      </w:r>
    </w:p>
    <w:p w14:paraId="3FA53B75">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default" w:eastAsia="仿宋_GB2312"/>
          <w:bCs/>
          <w:sz w:val="32"/>
          <w:szCs w:val="32"/>
          <w:highlight w:val="none"/>
          <w:shd w:val="clear" w:color="auto" w:fill="auto"/>
          <w:lang w:val="en-US" w:eastAsia="zh-CN"/>
        </w:rPr>
      </w:pPr>
      <w:r>
        <w:rPr>
          <w:rFonts w:hint="eastAsia" w:ascii="仿宋_GB2312" w:eastAsia="仿宋_GB2312"/>
          <w:b/>
          <w:bCs/>
          <w:sz w:val="32"/>
          <w:szCs w:val="32"/>
          <w:highlight w:val="none"/>
          <w:shd w:val="clear" w:color="auto" w:fill="auto"/>
          <w:lang w:val="en-US" w:eastAsia="zh-CN"/>
        </w:rPr>
        <w:t>十三、</w:t>
      </w:r>
      <w:r>
        <w:rPr>
          <w:rFonts w:hint="eastAsia" w:eastAsia="仿宋_GB2312"/>
          <w:b/>
          <w:bCs w:val="0"/>
          <w:sz w:val="32"/>
          <w:szCs w:val="32"/>
          <w:highlight w:val="none"/>
          <w:shd w:val="clear" w:color="auto" w:fill="auto"/>
          <w:lang w:val="en-US" w:eastAsia="zh-CN"/>
        </w:rPr>
        <w:t>上缴上级支出：</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事业单位按照财政部门和主管部门的规定上缴上级单位的支出。</w:t>
      </w:r>
    </w:p>
    <w:p w14:paraId="1D48B69A">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十四、</w:t>
      </w:r>
      <w:r>
        <w:rPr>
          <w:rFonts w:hint="eastAsia" w:ascii="仿宋_GB2312" w:eastAsia="仿宋_GB2312"/>
          <w:b/>
          <w:bCs/>
          <w:sz w:val="32"/>
          <w:szCs w:val="32"/>
          <w:highlight w:val="none"/>
          <w:shd w:val="clear" w:color="auto" w:fill="auto"/>
        </w:rPr>
        <w:t>经营支出：</w:t>
      </w:r>
      <w:r>
        <w:rPr>
          <w:rFonts w:hint="eastAsia" w:ascii="仿宋_GB2312" w:eastAsia="仿宋_GB2312"/>
          <w:sz w:val="32"/>
          <w:szCs w:val="32"/>
          <w:highlight w:val="none"/>
          <w:shd w:val="clear" w:color="auto" w:fill="auto"/>
        </w:rPr>
        <w:t>指</w:t>
      </w:r>
      <w:r>
        <w:rPr>
          <w:rFonts w:hint="eastAsia" w:ascii="仿宋_GB2312" w:eastAsia="仿宋_GB2312"/>
          <w:b w:val="0"/>
          <w:bCs w:val="0"/>
          <w:sz w:val="32"/>
          <w:szCs w:val="32"/>
          <w:highlight w:val="none"/>
          <w:shd w:val="clear" w:color="auto" w:fill="auto"/>
        </w:rPr>
        <w:t>事业单位在专业活动及辅助活动之外开展非独立核算经营活动发生的支出。</w:t>
      </w:r>
    </w:p>
    <w:p w14:paraId="2B78996E">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rPr>
      </w:pPr>
      <w:r>
        <w:rPr>
          <w:rFonts w:hint="eastAsia" w:ascii="仿宋_GB2312" w:eastAsia="仿宋_GB2312"/>
          <w:b/>
          <w:bCs/>
          <w:sz w:val="32"/>
          <w:szCs w:val="32"/>
          <w:highlight w:val="none"/>
          <w:shd w:val="clear" w:color="auto" w:fill="auto"/>
          <w:lang w:val="en-US" w:eastAsia="zh-CN"/>
        </w:rPr>
        <w:t>十五、</w:t>
      </w:r>
      <w:r>
        <w:rPr>
          <w:rFonts w:hint="eastAsia" w:ascii="仿宋_GB2312" w:eastAsia="仿宋_GB2312"/>
          <w:b/>
          <w:bCs/>
          <w:sz w:val="32"/>
          <w:szCs w:val="32"/>
          <w:highlight w:val="none"/>
          <w:shd w:val="clear" w:color="auto" w:fill="auto"/>
        </w:rPr>
        <w:t>对附属单位补助支出：</w:t>
      </w:r>
      <w:r>
        <w:rPr>
          <w:rFonts w:hint="eastAsia" w:ascii="仿宋_GB2312" w:eastAsia="仿宋_GB2312"/>
          <w:sz w:val="32"/>
          <w:szCs w:val="32"/>
          <w:highlight w:val="none"/>
          <w:shd w:val="clear" w:color="auto" w:fill="auto"/>
        </w:rPr>
        <w:t>指</w:t>
      </w:r>
      <w:r>
        <w:rPr>
          <w:rFonts w:hint="eastAsia" w:eastAsia="仿宋_GB2312"/>
          <w:bCs/>
          <w:sz w:val="32"/>
          <w:szCs w:val="32"/>
          <w:highlight w:val="none"/>
          <w:shd w:val="clear" w:color="auto" w:fill="auto"/>
        </w:rPr>
        <w:t>事业</w:t>
      </w:r>
      <w:r>
        <w:rPr>
          <w:rFonts w:eastAsia="仿宋_GB2312"/>
          <w:bCs/>
          <w:sz w:val="32"/>
          <w:szCs w:val="32"/>
          <w:highlight w:val="none"/>
          <w:shd w:val="clear" w:color="auto" w:fill="auto"/>
        </w:rPr>
        <w:t>单位用财政补助收入之外的收入对附属单位补助发生的支出。</w:t>
      </w:r>
    </w:p>
    <w:p w14:paraId="6AA22228">
      <w:pPr>
        <w:keepNext w:val="0"/>
        <w:keepLines w:val="0"/>
        <w:pageBreakBefore w:val="0"/>
        <w:widowControl w:val="0"/>
        <w:kinsoku/>
        <w:wordWrap/>
        <w:overflowPunct/>
        <w:topLinePunct w:val="0"/>
        <w:autoSpaceDE w:val="0"/>
        <w:autoSpaceDN w:val="0"/>
        <w:bidi w:val="0"/>
        <w:adjustRightInd/>
        <w:snapToGrid/>
        <w:spacing w:line="600" w:lineRule="exact"/>
        <w:ind w:firstLine="643" w:firstLineChars="200"/>
        <w:textAlignment w:val="auto"/>
        <w:rPr>
          <w:rFonts w:hint="eastAsia" w:ascii="仿宋_GB2312" w:eastAsia="仿宋_GB2312"/>
          <w:sz w:val="32"/>
          <w:szCs w:val="32"/>
          <w:highlight w:val="none"/>
          <w:shd w:val="clear" w:color="auto" w:fill="auto"/>
          <w:lang w:eastAsia="zh-CN"/>
        </w:rPr>
      </w:pPr>
      <w:r>
        <w:rPr>
          <w:rFonts w:hint="eastAsia" w:ascii="仿宋_GB2312" w:eastAsia="仿宋_GB2312"/>
          <w:b/>
          <w:bCs/>
          <w:sz w:val="32"/>
          <w:szCs w:val="32"/>
          <w:highlight w:val="none"/>
          <w:shd w:val="clear" w:color="auto" w:fill="auto"/>
          <w:lang w:val="en-US" w:eastAsia="zh-CN"/>
        </w:rPr>
        <w:t>十六、</w:t>
      </w:r>
      <w:r>
        <w:rPr>
          <w:rFonts w:hint="eastAsia" w:ascii="仿宋_GB2312" w:eastAsia="仿宋_GB2312"/>
          <w:b/>
          <w:bCs/>
          <w:sz w:val="32"/>
          <w:szCs w:val="32"/>
          <w:highlight w:val="none"/>
          <w:shd w:val="clear" w:color="auto" w:fill="auto"/>
        </w:rPr>
        <w:t>“三公”经费：</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单位使用财政拨款安排的</w:t>
      </w:r>
      <w:r>
        <w:rPr>
          <w:rFonts w:hint="eastAsia" w:ascii="仿宋_GB2312" w:eastAsia="仿宋_GB2312"/>
          <w:sz w:val="32"/>
          <w:szCs w:val="32"/>
          <w:highlight w:val="none"/>
          <w:shd w:val="clear" w:color="auto" w:fill="auto"/>
        </w:rPr>
        <w:t>因公出国（境）费</w:t>
      </w:r>
      <w:r>
        <w:rPr>
          <w:rFonts w:hint="eastAsia" w:ascii="仿宋_GB2312" w:eastAsia="仿宋_GB2312"/>
          <w:sz w:val="32"/>
          <w:szCs w:val="32"/>
          <w:highlight w:val="none"/>
          <w:shd w:val="clear" w:color="auto" w:fill="auto"/>
          <w:lang w:val="en-US" w:eastAsia="zh-CN"/>
        </w:rPr>
        <w:t>用</w:t>
      </w:r>
      <w:r>
        <w:rPr>
          <w:rFonts w:hint="eastAsia" w:ascii="仿宋_GB2312" w:eastAsia="仿宋_GB2312"/>
          <w:sz w:val="32"/>
          <w:szCs w:val="32"/>
          <w:highlight w:val="none"/>
          <w:shd w:val="clear" w:color="auto" w:fill="auto"/>
        </w:rPr>
        <w:t>、公务用车购置及运行维护费和公务接待费。其中，因公出国（境）费用反映单位公务出国（境）的</w:t>
      </w:r>
      <w:r>
        <w:rPr>
          <w:rFonts w:hint="eastAsia" w:ascii="仿宋_GB2312" w:eastAsia="仿宋_GB2312"/>
          <w:sz w:val="32"/>
          <w:szCs w:val="32"/>
          <w:highlight w:val="none"/>
          <w:shd w:val="clear" w:color="auto" w:fill="auto"/>
          <w:lang w:eastAsia="zh-CN"/>
        </w:rPr>
        <w:t>国际旅费、国外城市间交通费、</w:t>
      </w:r>
      <w:r>
        <w:rPr>
          <w:rFonts w:hint="eastAsia" w:ascii="仿宋_GB2312" w:eastAsia="仿宋_GB2312"/>
          <w:sz w:val="32"/>
          <w:szCs w:val="32"/>
          <w:highlight w:val="none"/>
          <w:shd w:val="clear" w:color="auto" w:fill="auto"/>
        </w:rPr>
        <w:t>住宿费、伙食费、培训费、</w:t>
      </w:r>
      <w:r>
        <w:rPr>
          <w:rFonts w:hint="eastAsia" w:ascii="仿宋_GB2312" w:eastAsia="仿宋_GB2312"/>
          <w:sz w:val="32"/>
          <w:szCs w:val="32"/>
          <w:highlight w:val="none"/>
          <w:shd w:val="clear" w:color="auto" w:fill="auto"/>
          <w:lang w:eastAsia="zh-CN"/>
        </w:rPr>
        <w:t>公</w:t>
      </w:r>
      <w:r>
        <w:rPr>
          <w:rFonts w:hint="eastAsia" w:ascii="仿宋_GB2312" w:eastAsia="仿宋_GB2312"/>
          <w:sz w:val="32"/>
          <w:szCs w:val="32"/>
          <w:highlight w:val="none"/>
          <w:shd w:val="clear" w:color="auto" w:fill="auto"/>
        </w:rPr>
        <w:t>杂费等支出；公务用车购置</w:t>
      </w:r>
      <w:r>
        <w:rPr>
          <w:rFonts w:hint="eastAsia" w:ascii="仿宋_GB2312" w:eastAsia="仿宋_GB2312"/>
          <w:sz w:val="32"/>
          <w:szCs w:val="32"/>
          <w:highlight w:val="none"/>
          <w:shd w:val="clear" w:color="auto" w:fill="auto"/>
          <w:lang w:val="en-US" w:eastAsia="zh-CN"/>
        </w:rPr>
        <w:t>费</w:t>
      </w:r>
      <w:r>
        <w:rPr>
          <w:rFonts w:hint="eastAsia" w:ascii="仿宋_GB2312" w:eastAsia="仿宋_GB2312"/>
          <w:sz w:val="32"/>
          <w:szCs w:val="32"/>
          <w:highlight w:val="none"/>
          <w:shd w:val="clear" w:color="auto" w:fill="auto"/>
          <w:lang w:eastAsia="zh-CN"/>
        </w:rPr>
        <w:t>反映公务用车购置支出（含车辆购置税、牌照费）；</w:t>
      </w:r>
      <w:r>
        <w:rPr>
          <w:rFonts w:hint="eastAsia" w:ascii="仿宋_GB2312" w:eastAsia="仿宋_GB2312"/>
          <w:sz w:val="32"/>
          <w:szCs w:val="32"/>
          <w:highlight w:val="none"/>
          <w:shd w:val="clear" w:color="auto" w:fill="auto"/>
        </w:rPr>
        <w:t>公务用车运行</w:t>
      </w:r>
      <w:r>
        <w:rPr>
          <w:rFonts w:hint="eastAsia" w:ascii="仿宋_GB2312" w:eastAsia="仿宋_GB2312"/>
          <w:sz w:val="32"/>
          <w:szCs w:val="32"/>
          <w:highlight w:val="none"/>
          <w:shd w:val="clear" w:color="auto" w:fill="auto"/>
          <w:lang w:eastAsia="zh-CN"/>
        </w:rPr>
        <w:t>维护</w:t>
      </w:r>
      <w:r>
        <w:rPr>
          <w:rFonts w:hint="eastAsia" w:ascii="仿宋_GB2312" w:eastAsia="仿宋_GB2312"/>
          <w:sz w:val="32"/>
          <w:szCs w:val="32"/>
          <w:highlight w:val="none"/>
          <w:shd w:val="clear" w:color="auto" w:fill="auto"/>
        </w:rPr>
        <w:t>费反映</w:t>
      </w:r>
      <w:r>
        <w:rPr>
          <w:rFonts w:hint="eastAsia" w:ascii="仿宋_GB2312" w:eastAsia="仿宋_GB2312"/>
          <w:sz w:val="32"/>
          <w:szCs w:val="32"/>
          <w:highlight w:val="none"/>
          <w:shd w:val="clear" w:color="auto" w:fill="auto"/>
          <w:lang w:eastAsia="zh-CN"/>
        </w:rPr>
        <w:t>单位按规定保留的公务用车燃料费、新能源汽车充电费、维修费、</w:t>
      </w:r>
      <w:r>
        <w:rPr>
          <w:rFonts w:hint="eastAsia" w:ascii="仿宋_GB2312" w:eastAsia="仿宋_GB2312"/>
          <w:sz w:val="32"/>
          <w:szCs w:val="32"/>
          <w:highlight w:val="none"/>
          <w:shd w:val="clear" w:color="auto" w:fill="auto"/>
        </w:rPr>
        <w:t>过路过桥费、保险费、安全奖励费用等支出</w:t>
      </w:r>
      <w:r>
        <w:rPr>
          <w:rFonts w:hint="eastAsia" w:ascii="仿宋_GB2312" w:eastAsia="仿宋_GB2312"/>
          <w:sz w:val="32"/>
          <w:szCs w:val="32"/>
          <w:highlight w:val="none"/>
          <w:shd w:val="clear" w:color="auto" w:fill="auto"/>
          <w:lang w:eastAsia="zh-CN"/>
        </w:rPr>
        <w:t>；</w:t>
      </w:r>
      <w:r>
        <w:rPr>
          <w:rFonts w:hint="eastAsia" w:ascii="仿宋_GB2312" w:eastAsia="仿宋_GB2312"/>
          <w:sz w:val="32"/>
          <w:szCs w:val="32"/>
          <w:highlight w:val="none"/>
          <w:shd w:val="clear" w:color="auto" w:fill="auto"/>
        </w:rPr>
        <w:t>公务接待费反映单位按规定开支的各类公务接待（含外宾接待）</w:t>
      </w:r>
      <w:r>
        <w:rPr>
          <w:rFonts w:hint="eastAsia" w:ascii="仿宋_GB2312" w:eastAsia="仿宋_GB2312"/>
          <w:sz w:val="32"/>
          <w:szCs w:val="32"/>
          <w:highlight w:val="none"/>
          <w:shd w:val="clear" w:color="auto" w:fill="auto"/>
          <w:lang w:eastAsia="zh-CN"/>
        </w:rPr>
        <w:t>费用</w:t>
      </w:r>
      <w:r>
        <w:rPr>
          <w:rFonts w:hint="eastAsia" w:ascii="仿宋_GB2312" w:eastAsia="仿宋_GB2312"/>
          <w:sz w:val="32"/>
          <w:szCs w:val="32"/>
          <w:highlight w:val="none"/>
          <w:shd w:val="clear" w:color="auto" w:fill="auto"/>
        </w:rPr>
        <w:t>。</w:t>
      </w:r>
    </w:p>
    <w:p w14:paraId="5523590E">
      <w:pPr>
        <w:keepNext w:val="0"/>
        <w:keepLines w:val="0"/>
        <w:pageBreakBefore w:val="0"/>
        <w:widowControl w:val="0"/>
        <w:kinsoku/>
        <w:wordWrap/>
        <w:overflowPunct/>
        <w:topLinePunct w:val="0"/>
        <w:bidi w:val="0"/>
        <w:adjustRightInd/>
        <w:snapToGrid/>
        <w:spacing w:line="600" w:lineRule="exact"/>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shd w:val="clear" w:color="auto" w:fill="auto"/>
          <w:lang w:val="en-US" w:eastAsia="zh-CN"/>
        </w:rPr>
        <w:t>十七、</w:t>
      </w:r>
      <w:r>
        <w:rPr>
          <w:rFonts w:hint="eastAsia" w:ascii="仿宋_GB2312" w:eastAsia="仿宋_GB2312"/>
          <w:b/>
          <w:bCs/>
          <w:sz w:val="32"/>
          <w:szCs w:val="32"/>
          <w:highlight w:val="none"/>
          <w:shd w:val="clear" w:color="auto" w:fill="auto"/>
        </w:rPr>
        <w:t>机关运行经费：</w:t>
      </w:r>
      <w:r>
        <w:rPr>
          <w:rFonts w:hint="eastAsia" w:ascii="仿宋_GB2312" w:eastAsia="仿宋_GB2312"/>
          <w:sz w:val="32"/>
          <w:szCs w:val="32"/>
          <w:highlight w:val="none"/>
          <w:shd w:val="clear" w:color="auto" w:fill="auto"/>
        </w:rPr>
        <w:t>指</w:t>
      </w:r>
      <w:r>
        <w:rPr>
          <w:rFonts w:eastAsia="仿宋_GB2312"/>
          <w:bCs/>
          <w:sz w:val="32"/>
          <w:szCs w:val="32"/>
          <w:highlight w:val="none"/>
          <w:shd w:val="clear" w:color="auto" w:fill="auto"/>
        </w:rPr>
        <w:t>行政单位和参照公务员法管理的事业单位财政拨款基本支出中的公用经费支出。</w:t>
      </w:r>
    </w:p>
    <w:p w14:paraId="754432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bookmarkStart w:id="1" w:name="_Toc6831"/>
      <w:r>
        <w:rPr>
          <w:rFonts w:hint="eastAsia" w:ascii="黑体" w:hAnsi="黑体" w:eastAsia="黑体"/>
          <w:sz w:val="32"/>
          <w:szCs w:val="32"/>
          <w:highlight w:val="none"/>
        </w:rPr>
        <w:t>第四部分 部门决算报表（见附表）</w:t>
      </w:r>
      <w:bookmarkEnd w:id="1"/>
    </w:p>
    <w:p w14:paraId="02DEC2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2" w:name="_Toc6062"/>
      <w:bookmarkStart w:id="3" w:name="_Toc3845"/>
      <w:r>
        <w:rPr>
          <w:rFonts w:hint="eastAsia" w:ascii="仿宋_GB2312" w:hAnsi="仿宋_GB2312" w:eastAsia="仿宋_GB2312" w:cs="仿宋_GB2312"/>
          <w:bCs/>
          <w:kern w:val="0"/>
          <w:sz w:val="32"/>
          <w:szCs w:val="32"/>
          <w:highlight w:val="none"/>
        </w:rPr>
        <w:t>一、《收入支出决算总表》</w:t>
      </w:r>
      <w:bookmarkEnd w:id="2"/>
      <w:bookmarkEnd w:id="3"/>
    </w:p>
    <w:p w14:paraId="1750959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4" w:name="_Toc11927"/>
      <w:bookmarkStart w:id="5" w:name="_Toc30364"/>
      <w:r>
        <w:rPr>
          <w:rFonts w:hint="eastAsia" w:ascii="仿宋_GB2312" w:hAnsi="仿宋_GB2312" w:eastAsia="仿宋_GB2312" w:cs="仿宋_GB2312"/>
          <w:bCs/>
          <w:kern w:val="0"/>
          <w:sz w:val="32"/>
          <w:szCs w:val="32"/>
          <w:highlight w:val="none"/>
        </w:rPr>
        <w:t>二、《收入决算表》</w:t>
      </w:r>
      <w:bookmarkEnd w:id="4"/>
      <w:bookmarkEnd w:id="5"/>
    </w:p>
    <w:p w14:paraId="2FD8BF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6" w:name="_Toc21304"/>
      <w:bookmarkStart w:id="7" w:name="_Toc7443"/>
      <w:r>
        <w:rPr>
          <w:rFonts w:hint="eastAsia" w:ascii="仿宋_GB2312" w:hAnsi="仿宋_GB2312" w:eastAsia="仿宋_GB2312" w:cs="仿宋_GB2312"/>
          <w:bCs/>
          <w:kern w:val="0"/>
          <w:sz w:val="32"/>
          <w:szCs w:val="32"/>
          <w:highlight w:val="none"/>
        </w:rPr>
        <w:t>三、《支出决算表》</w:t>
      </w:r>
      <w:bookmarkEnd w:id="6"/>
      <w:bookmarkEnd w:id="7"/>
    </w:p>
    <w:p w14:paraId="085684D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8" w:name="_Toc24884"/>
      <w:bookmarkStart w:id="9" w:name="_Toc14238"/>
      <w:r>
        <w:rPr>
          <w:rFonts w:hint="eastAsia" w:ascii="仿宋_GB2312" w:hAnsi="仿宋_GB2312" w:eastAsia="仿宋_GB2312" w:cs="仿宋_GB2312"/>
          <w:bCs/>
          <w:kern w:val="0"/>
          <w:sz w:val="32"/>
          <w:szCs w:val="32"/>
          <w:highlight w:val="none"/>
        </w:rPr>
        <w:t>四、《财政拨款收入支出决算总表》</w:t>
      </w:r>
      <w:bookmarkEnd w:id="8"/>
      <w:bookmarkEnd w:id="9"/>
    </w:p>
    <w:p w14:paraId="000A8E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0" w:name="_Toc10347"/>
      <w:bookmarkStart w:id="11" w:name="_Toc16518"/>
      <w:r>
        <w:rPr>
          <w:rFonts w:hint="eastAsia" w:ascii="仿宋_GB2312" w:hAnsi="仿宋_GB2312" w:eastAsia="仿宋_GB2312" w:cs="仿宋_GB2312"/>
          <w:bCs/>
          <w:kern w:val="0"/>
          <w:sz w:val="32"/>
          <w:szCs w:val="32"/>
          <w:highlight w:val="none"/>
        </w:rPr>
        <w:t>五、《一般公共预算财政拨款支出决算表》</w:t>
      </w:r>
      <w:bookmarkEnd w:id="10"/>
      <w:bookmarkEnd w:id="11"/>
    </w:p>
    <w:p w14:paraId="46CCF50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2" w:name="_Toc5626"/>
      <w:bookmarkStart w:id="13" w:name="_Toc20514"/>
      <w:r>
        <w:rPr>
          <w:rFonts w:hint="eastAsia" w:ascii="仿宋_GB2312" w:hAnsi="仿宋_GB2312" w:eastAsia="仿宋_GB2312" w:cs="仿宋_GB2312"/>
          <w:bCs/>
          <w:kern w:val="0"/>
          <w:sz w:val="32"/>
          <w:szCs w:val="32"/>
          <w:highlight w:val="none"/>
        </w:rPr>
        <w:t>六、《一般公共预算财政拨款基本支出决算表》</w:t>
      </w:r>
      <w:bookmarkEnd w:id="12"/>
      <w:bookmarkEnd w:id="13"/>
    </w:p>
    <w:p w14:paraId="7AF14CD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4" w:name="_Toc5453"/>
      <w:bookmarkStart w:id="15" w:name="_Toc18055"/>
      <w:r>
        <w:rPr>
          <w:rFonts w:hint="eastAsia" w:ascii="仿宋_GB2312" w:hAnsi="仿宋_GB2312" w:eastAsia="仿宋_GB2312" w:cs="仿宋_GB2312"/>
          <w:bCs/>
          <w:kern w:val="0"/>
          <w:sz w:val="32"/>
          <w:szCs w:val="32"/>
          <w:highlight w:val="none"/>
        </w:rPr>
        <w:t>七、《政府性基金预算财政拨款收入支出决算表》</w:t>
      </w:r>
      <w:bookmarkEnd w:id="14"/>
      <w:bookmarkEnd w:id="15"/>
    </w:p>
    <w:p w14:paraId="22CA9D0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bCs/>
          <w:kern w:val="0"/>
          <w:sz w:val="32"/>
          <w:szCs w:val="32"/>
          <w:highlight w:val="none"/>
        </w:rPr>
      </w:pPr>
      <w:bookmarkStart w:id="16" w:name="_Toc10719"/>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bookmarkEnd w:id="16"/>
    </w:p>
    <w:p w14:paraId="100E8094">
      <w:pPr>
        <w:pStyle w:val="2"/>
        <w:spacing w:before="46" w:line="215" w:lineRule="auto"/>
        <w:ind w:left="620"/>
      </w:pPr>
      <w:bookmarkStart w:id="17" w:name="_Toc29106"/>
      <w:bookmarkStart w:id="18" w:name="_Toc32663"/>
      <w:bookmarkStart w:id="19" w:name="_Toc18861"/>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bookmarkEnd w:id="17"/>
      <w:bookmarkEnd w:id="18"/>
      <w:bookmarkEnd w:id="19"/>
    </w:p>
    <w:sectPr>
      <w:pgSz w:w="12240" w:h="15840"/>
      <w:pgMar w:top="1346" w:right="1836" w:bottom="0" w:left="183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93DBEAD-7F11-492A-BEED-D67F64D83DD7}"/>
  </w:font>
  <w:font w:name="黑体">
    <w:panose1 w:val="02010609060101010101"/>
    <w:charset w:val="86"/>
    <w:family w:val="auto"/>
    <w:pitch w:val="default"/>
    <w:sig w:usb0="800002BF" w:usb1="38CF7CFA" w:usb2="00000016" w:usb3="00000000" w:csb0="00040001" w:csb1="00000000"/>
    <w:embedRegular r:id="rId2" w:fontKey="{619F3EA1-7FBB-46BA-9C7F-7F9E2EC0B6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3" w:fontKey="{67B1C65E-C491-435F-B78E-9BB8A6E23792}"/>
  </w:font>
  <w:font w:name="楷体_GB2312">
    <w:panose1 w:val="02010609030101010101"/>
    <w:charset w:val="86"/>
    <w:family w:val="auto"/>
    <w:pitch w:val="default"/>
    <w:sig w:usb0="00000001" w:usb1="080E0000" w:usb2="00000000" w:usb3="00000000" w:csb0="00040000" w:csb1="00000000"/>
    <w:embedRegular r:id="rId4" w:fontKey="{582622BE-8713-4A34-BA58-3D1B12AFAA49}"/>
  </w:font>
  <w:font w:name="FangSong_GB2312">
    <w:altName w:val="仿宋_GB2312"/>
    <w:panose1 w:val="020B0604020202020204"/>
    <w:charset w:val="86"/>
    <w:family w:val="modern"/>
    <w:pitch w:val="default"/>
    <w:sig w:usb0="00000000" w:usb1="00000000" w:usb2="00000010" w:usb3="00000000" w:csb0="00040000" w:csb1="00000000"/>
    <w:embedRegular r:id="rId5" w:fontKey="{24FFEEAE-C39B-43C3-A1C1-B8D5F1904839}"/>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6" w:fontKey="{FFA1896D-BA4E-46D8-BDCF-54532F1BE8FC}"/>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CCF3DB6"/>
    <w:rsid w:val="12F14123"/>
    <w:rsid w:val="17E31439"/>
    <w:rsid w:val="2F911A4F"/>
    <w:rsid w:val="32650F71"/>
    <w:rsid w:val="55D91EC1"/>
    <w:rsid w:val="621C6FEF"/>
    <w:rsid w:val="6F5D48DC"/>
    <w:rsid w:val="745426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FangSong_GB2312" w:hAnsi="FangSong_GB2312" w:eastAsia="FangSong_GB2312" w:cs="FangSong_GB2312"/>
      <w:sz w:val="32"/>
      <w:szCs w:val="32"/>
      <w:lang w:val="en-US" w:eastAsia="en-US" w:bidi="ar-SA"/>
    </w:rPr>
  </w:style>
  <w:style w:type="paragraph" w:styleId="3">
    <w:name w:val="toc 3"/>
    <w:basedOn w:val="1"/>
    <w:next w:val="1"/>
    <w:qFormat/>
    <w:uiPriority w:val="0"/>
    <w:pPr>
      <w:ind w:left="840" w:leftChars="400"/>
    </w:pPr>
  </w:style>
  <w:style w:type="paragraph" w:styleId="4">
    <w:name w:val="toc 1"/>
    <w:basedOn w:val="1"/>
    <w:next w:val="1"/>
    <w:qFormat/>
    <w:uiPriority w:val="0"/>
  </w:style>
  <w:style w:type="paragraph" w:styleId="5">
    <w:name w:val="toc 2"/>
    <w:basedOn w:val="1"/>
    <w:next w:val="1"/>
    <w:qFormat/>
    <w:uiPriority w:val="0"/>
    <w:pPr>
      <w:ind w:left="420" w:leftChars="200"/>
    </w:p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b404630e-f6c3-40f3-bf0d-8b1747f7ac11</errorID>
      <errorWord>法律、法规</errorWord>
      <group>L1_Word</group>
      <groupName>字词问题</groupName>
      <ability>L2_Typo</ability>
      <abilityName>字词错误</abilityName>
      <candidateList>
        <item>法律法规</item>
      </candidateList>
      <explain/>
      <paraID>6EDB23B0</paraID>
      <start>85</start>
      <end>90</end>
      <status>unmodified</status>
      <modifiedWord/>
      <trackRevisions>false</trackRevisions>
    </reviewItem>
    <reviewItem>
      <errorID>9374a48e-3c5f-4e9b-a923-44d07842182b</errorID>
      <errorWord>中央环保督察</errorWord>
      <group>L1_Political</group>
      <groupName>政治性问题</groupName>
      <ability>L2_Unpolitical</ability>
      <abilityName>政治敏感错误</abilityName>
      <candidateList>
        <item>中央生态环境保护督察</item>
      </candidateList>
      <explain/>
      <paraID>7BF24B40</paraID>
      <start>125</start>
      <end>131</end>
      <status>unmodified</status>
      <modifiedWord/>
      <trackRevisions>false</trackRevisions>
    </reviewItem>
    <reviewItem>
      <errorID>641162a2-a26e-4ab6-a7a6-e306e0fa66d9</errorID>
      <errorWord>三公经费</errorWord>
      <group>L1_Other</group>
      <groupName>其他问题</groupName>
      <ability>L2_UserTypo</ability>
      <abilityName>自定义错误</abilityName>
      <candidateList>
        <item>“三公”经费</item>
      </candidateList>
      <explain>来自自定义错词库。</explain>
      <paraID>  105DB7</paraID>
      <start>82</start>
      <end>88</end>
      <status>modified</status>
      <modifiedWord>“三公”经费</modifiedWord>
      <trackRevisions>false</trackRevisions>
    </reviewItem>
    <reviewItem>
      <errorID>db37bf32-97a3-45a7-9091-6c4aa26e32be</errorID>
      <errorWord>八项规定</errorWord>
      <group>L1_Sensitive</group>
      <groupName>敏感问题</groupName>
      <ability>L2_UserSensitive</ability>
      <abilityName>自定义敏感词</abilityName>
      <candidateList/>
      <explain>来自自定义敏感词库。</explain>
      <paraID>5A340B6E</paraID>
      <start>70</start>
      <end>74</end>
      <status>unmodified</status>
      <modifiedWord/>
      <trackRevisions>false</trackRevisions>
    </reviewItem>
    <reviewItem>
      <errorID>98b6ee7c-c521-4046-83c7-572cc2283281</errorID>
      <errorWord>八项规定</errorWord>
      <group>L1_Sensitive</group>
      <groupName>敏感问题</groupName>
      <ability>L2_UserSensitive</ability>
      <abilityName>自定义敏感词</abilityName>
      <candidateList/>
      <explain>来自自定义敏感词库。</explain>
      <paraID>5A340B6E</paraID>
      <start>275</start>
      <end>279</end>
      <status>unmodified</status>
      <modifiedWord/>
      <trackRevisions>false</trackRevisions>
    </reviewItem>
    <reviewItem>
      <errorID>f463f2a5-643f-4313-8662-ddbe140e6df8</errorID>
      <errorWord>;</errorWord>
      <group>L1_Format</group>
      <groupName>格式问题</groupName>
      <ability>L2_HalfPunc_CN</ability>
      <abilityName>全半角问题</abilityName>
      <candidateList>
        <item>；</item>
      </candidateList>
      <explain>文本全半角错误。</explain>
      <paraID>49331725</paraID>
      <start>149</start>
      <end>150</end>
      <status>modified</status>
      <modifiedWord>；</modifiedWord>
      <trackRevisions>false</trackRevisions>
    </reviewItem>
    <reviewItem>
      <errorID>53a79e78-d330-4c35-93d2-0f50e011557e</errorID>
      <errorWord>提高</errorWord>
      <group>L1_Grammar</group>
      <groupName>语法问题</groupName>
      <ability>L2_Grammar</ability>
      <abilityName>语法错误</abilityName>
      <candidateList>
        <item>增强</item>
      </candidateList>
      <explain>“提高～意识”搭配不当，建议修改为“增强～意识”。</explain>
      <paraID>7369C5E8</paraID>
      <start>297</start>
      <end>299</end>
      <status>modified</status>
      <modifiedWord>增强</modifiedWord>
      <trackRevisions>false</trackRevisions>
    </reviewItem>
  </reviewItems>
  <config/>
</contractReview>
</file>

<file path=customXml/itemProps1.xml><?xml version="1.0" encoding="utf-8"?>
<ds:datastoreItem xmlns:ds="http://schemas.openxmlformats.org/officeDocument/2006/customXml" ds:itemID="{45804b20-f398-4377-aa7a-a00553586948}">
  <ds:schemaRefs/>
</ds:datastoreItem>
</file>

<file path=docProps/app.xml><?xml version="1.0" encoding="utf-8"?>
<Properties xmlns="http://schemas.openxmlformats.org/officeDocument/2006/extended-properties" xmlns:vt="http://schemas.openxmlformats.org/officeDocument/2006/docPropsVTypes">
  <Pages>17</Pages>
  <Words>6922</Words>
  <Characters>7780</Characters>
  <TotalTime>43</TotalTime>
  <ScaleCrop>false</ScaleCrop>
  <LinksUpToDate>false</LinksUpToDate>
  <CharactersWithSpaces>7808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2026-08-14T11:24:00Z</dcterms:created>
  <dc:creator>HP</dc:creator>
  <cp:lastModifiedBy>蹁跹</cp:lastModifiedBy>
  <dcterms:modified xsi:type="dcterms:W3CDTF">2026-08-25T05:29:47Z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2026-08-14T19:24:51Z</vt:filetime>
  </property>
  <property fmtid="{D5CDD505-2E9C-101B-9397-08002B2CF9AE}" pid="4" name="KSOProductBuildVer">
    <vt:lpwstr>2052-12.1.0.28043</vt:lpwstr>
  </property>
  <property fmtid="{D5CDD505-2E9C-101B-9397-08002B2CF9AE}" pid="5" name="ICV">
    <vt:lpwstr>2D1B50C831BB483EB373ED46E96DBD62_13</vt:lpwstr>
  </property>
  <property fmtid="{D5CDD505-2E9C-101B-9397-08002B2CF9AE}" pid="6" name="KSOTemplateDocerSaveRecord">
    <vt:lpwstr>eyJoZGlkIjoiNTBiYjFiYzY0OWM2ODlhYjA1NDAwODJkOGMwZGNkYTMiLCJ1c2VySWQiOiIxMTU3MzgyOTA5In0=</vt:lpwstr>
  </property>
</Properties>
</file>