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E1273">
      <w:pPr>
        <w:spacing w:after="0" w:line="240" w:lineRule="auto"/>
        <w:jc w:val="both"/>
        <w:rPr>
          <w:rFonts w:ascii="宋体" w:eastAsia="宋体"/>
          <w:sz w:val="32"/>
          <w:szCs w:val="32"/>
        </w:rPr>
      </w:pPr>
    </w:p>
    <w:p w14:paraId="66F4ACB8">
      <w:pPr>
        <w:spacing w:after="0" w:line="240" w:lineRule="auto"/>
        <w:jc w:val="both"/>
        <w:rPr>
          <w:rFonts w:ascii="宋体" w:eastAsia="宋体"/>
          <w:sz w:val="44"/>
          <w:szCs w:val="44"/>
        </w:rPr>
      </w:pPr>
    </w:p>
    <w:p w14:paraId="2A7430D7">
      <w:pPr>
        <w:spacing w:after="0" w:line="240" w:lineRule="auto"/>
        <w:jc w:val="both"/>
        <w:rPr>
          <w:rFonts w:ascii="宋体" w:eastAsia="宋体"/>
          <w:sz w:val="44"/>
          <w:szCs w:val="44"/>
        </w:rPr>
      </w:pPr>
    </w:p>
    <w:p w14:paraId="4A1B98ED">
      <w:pPr>
        <w:widowControl w:val="0"/>
        <w:spacing w:after="0" w:line="240" w:lineRule="auto"/>
        <w:jc w:val="both"/>
        <w:rPr>
          <w:rFonts w:ascii="方正小标宋_GBK" w:hAnsi="宋体" w:eastAsia="方正小标宋_GBK" w:cs="Times New Roman"/>
          <w:kern w:val="2"/>
          <w:sz w:val="44"/>
          <w:szCs w:val="44"/>
          <w:lang w:eastAsia="zh-CN"/>
        </w:rPr>
      </w:pPr>
    </w:p>
    <w:p w14:paraId="12EB4295">
      <w:pPr>
        <w:widowControl w:val="0"/>
        <w:spacing w:after="0" w:line="240" w:lineRule="auto"/>
        <w:jc w:val="both"/>
        <w:rPr>
          <w:rFonts w:ascii="方正小标宋_GBK" w:hAnsi="宋体" w:eastAsia="方正小标宋_GBK" w:cs="Times New Roman"/>
          <w:kern w:val="2"/>
          <w:sz w:val="44"/>
          <w:szCs w:val="44"/>
          <w:lang w:eastAsia="zh-CN"/>
        </w:rPr>
      </w:pPr>
    </w:p>
    <w:p w14:paraId="33D372D6">
      <w:pPr>
        <w:widowControl w:val="0"/>
        <w:spacing w:after="0" w:line="240" w:lineRule="auto"/>
        <w:jc w:val="both"/>
        <w:rPr>
          <w:rFonts w:ascii="方正小标宋_GBK" w:hAnsi="宋体" w:eastAsia="方正小标宋_GBK" w:cs="Times New Roman"/>
          <w:kern w:val="2"/>
          <w:sz w:val="44"/>
          <w:szCs w:val="44"/>
          <w:lang w:eastAsia="zh-CN"/>
        </w:rPr>
      </w:pPr>
    </w:p>
    <w:p w14:paraId="09502A58">
      <w:pPr>
        <w:widowControl w:val="0"/>
        <w:spacing w:after="0" w:line="240" w:lineRule="auto"/>
        <w:jc w:val="both"/>
        <w:rPr>
          <w:rFonts w:ascii="方正小标宋_GBK" w:hAnsi="宋体" w:eastAsia="方正小标宋_GBK" w:cs="Times New Roman"/>
          <w:kern w:val="2"/>
          <w:sz w:val="44"/>
          <w:szCs w:val="44"/>
          <w:lang w:eastAsia="zh-CN"/>
        </w:rPr>
      </w:pPr>
    </w:p>
    <w:p w14:paraId="1DC6A15B">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新疆维吾尔自治区自然资源规划研究院</w:t>
      </w:r>
    </w:p>
    <w:p w14:paraId="4768D8AB">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2025年度部门决算公开说明</w:t>
      </w:r>
    </w:p>
    <w:p w14:paraId="10D6B83B">
      <w:pPr>
        <w:widowControl w:val="0"/>
        <w:spacing w:after="0" w:line="240" w:lineRule="auto"/>
        <w:jc w:val="both"/>
        <w:rPr>
          <w:rFonts w:ascii="方正小标宋_GBK" w:hAnsi="宋体" w:eastAsia="方正小标宋_GBK" w:cs="Times New Roman"/>
          <w:kern w:val="2"/>
          <w:sz w:val="44"/>
          <w:szCs w:val="44"/>
          <w:lang w:eastAsia="zh-CN"/>
        </w:rPr>
      </w:pPr>
    </w:p>
    <w:p w14:paraId="5365CACC">
      <w:pPr>
        <w:widowControl w:val="0"/>
        <w:spacing w:after="0" w:line="240" w:lineRule="auto"/>
        <w:jc w:val="both"/>
        <w:rPr>
          <w:rFonts w:ascii="方正小标宋_GBK" w:hAnsi="宋体" w:eastAsia="方正小标宋_GBK" w:cs="Times New Roman"/>
          <w:kern w:val="2"/>
          <w:sz w:val="44"/>
          <w:szCs w:val="44"/>
          <w:lang w:eastAsia="zh-CN"/>
        </w:rPr>
      </w:pPr>
    </w:p>
    <w:p w14:paraId="04AEC2D9">
      <w:pPr>
        <w:widowControl w:val="0"/>
        <w:spacing w:after="0" w:line="240" w:lineRule="auto"/>
        <w:jc w:val="both"/>
        <w:rPr>
          <w:rFonts w:ascii="方正小标宋_GBK" w:hAnsi="宋体" w:eastAsia="方正小标宋_GBK" w:cs="Times New Roman"/>
          <w:kern w:val="2"/>
          <w:sz w:val="44"/>
          <w:szCs w:val="44"/>
          <w:lang w:eastAsia="zh-CN"/>
        </w:rPr>
      </w:pPr>
    </w:p>
    <w:p w14:paraId="7C789B42">
      <w:pPr>
        <w:widowControl w:val="0"/>
        <w:spacing w:after="0" w:line="240" w:lineRule="auto"/>
        <w:jc w:val="both"/>
        <w:rPr>
          <w:rFonts w:ascii="方正小标宋_GBK" w:hAnsi="宋体" w:eastAsia="方正小标宋_GBK" w:cs="Times New Roman"/>
          <w:kern w:val="2"/>
          <w:sz w:val="44"/>
          <w:szCs w:val="44"/>
          <w:lang w:eastAsia="zh-CN"/>
        </w:rPr>
      </w:pPr>
    </w:p>
    <w:p w14:paraId="06F73EEE">
      <w:pPr>
        <w:widowControl w:val="0"/>
        <w:spacing w:after="0" w:line="240" w:lineRule="auto"/>
        <w:jc w:val="both"/>
        <w:rPr>
          <w:rFonts w:ascii="方正小标宋_GBK" w:hAnsi="宋体" w:eastAsia="方正小标宋_GBK" w:cs="Times New Roman"/>
          <w:kern w:val="2"/>
          <w:sz w:val="44"/>
          <w:szCs w:val="44"/>
          <w:lang w:eastAsia="zh-CN"/>
        </w:rPr>
      </w:pPr>
    </w:p>
    <w:p w14:paraId="7BDE8A11">
      <w:pPr>
        <w:widowControl w:val="0"/>
        <w:spacing w:after="0" w:line="240" w:lineRule="auto"/>
        <w:jc w:val="both"/>
        <w:rPr>
          <w:rFonts w:ascii="方正小标宋_GBK" w:hAnsi="宋体" w:eastAsia="方正小标宋_GBK" w:cs="Times New Roman"/>
          <w:kern w:val="2"/>
          <w:sz w:val="44"/>
          <w:szCs w:val="44"/>
          <w:lang w:eastAsia="zh-CN"/>
        </w:rPr>
      </w:pPr>
    </w:p>
    <w:p w14:paraId="62B116E9">
      <w:pPr>
        <w:widowControl w:val="0"/>
        <w:spacing w:after="0" w:line="240" w:lineRule="auto"/>
        <w:jc w:val="both"/>
        <w:rPr>
          <w:rFonts w:ascii="方正小标宋_GBK" w:hAnsi="宋体" w:eastAsia="方正小标宋_GBK" w:cs="Times New Roman"/>
          <w:kern w:val="2"/>
          <w:sz w:val="44"/>
          <w:szCs w:val="44"/>
          <w:lang w:eastAsia="zh-CN"/>
        </w:rPr>
      </w:pPr>
    </w:p>
    <w:p w14:paraId="179B7EFC">
      <w:pPr>
        <w:widowControl w:val="0"/>
        <w:spacing w:after="0" w:line="240" w:lineRule="auto"/>
        <w:jc w:val="both"/>
        <w:rPr>
          <w:rFonts w:ascii="方正小标宋_GBK" w:hAnsi="宋体" w:eastAsia="方正小标宋_GBK" w:cs="Times New Roman"/>
          <w:kern w:val="2"/>
          <w:sz w:val="44"/>
          <w:szCs w:val="44"/>
          <w:lang w:eastAsia="zh-CN"/>
        </w:rPr>
      </w:pPr>
    </w:p>
    <w:p w14:paraId="0CF686D9">
      <w:pPr>
        <w:widowControl w:val="0"/>
        <w:spacing w:after="0" w:line="240" w:lineRule="auto"/>
        <w:jc w:val="both"/>
        <w:rPr>
          <w:rFonts w:ascii="方正小标宋_GBK" w:hAnsi="宋体" w:eastAsia="方正小标宋_GBK" w:cs="Times New Roman"/>
          <w:kern w:val="2"/>
          <w:sz w:val="44"/>
          <w:szCs w:val="44"/>
          <w:lang w:eastAsia="zh-CN"/>
        </w:rPr>
      </w:pPr>
      <w:r>
        <w:rPr>
          <w:rFonts w:hint="eastAsia" w:ascii="方正小标宋_GBK" w:hAnsi="宋体" w:eastAsia="方正小标宋_GBK" w:cs="Times New Roman"/>
          <w:kern w:val="2"/>
          <w:sz w:val="44"/>
          <w:szCs w:val="44"/>
          <w:lang w:eastAsia="zh-CN"/>
        </w:rPr>
        <w:br w:type="page"/>
      </w:r>
    </w:p>
    <w:p w14:paraId="79391D57">
      <w:pPr>
        <w:widowControl w:val="0"/>
        <w:spacing w:after="0" w:line="240" w:lineRule="auto"/>
        <w:jc w:val="center"/>
        <w:rPr>
          <w:rFonts w:ascii="仿宋_GB2312" w:hAnsi="仿宋_GB2312" w:eastAsia="仿宋_GB2312" w:cs="仿宋_GB2312"/>
          <w:b/>
          <w:sz w:val="36"/>
          <w:szCs w:val="36"/>
          <w:lang w:eastAsia="zh-CN"/>
        </w:rPr>
      </w:pPr>
      <w:r>
        <w:rPr>
          <w:rFonts w:hint="eastAsia" w:ascii="仿宋_GB2312" w:hAnsi="仿宋_GB2312" w:eastAsia="仿宋_GB2312" w:cs="仿宋_GB2312"/>
          <w:b/>
          <w:sz w:val="36"/>
          <w:szCs w:val="36"/>
          <w:lang w:eastAsia="zh-CN"/>
        </w:rPr>
        <w:t>目 录</w:t>
      </w:r>
    </w:p>
    <w:p w14:paraId="43E6A034">
      <w:pPr>
        <w:pStyle w:val="11"/>
        <w:widowControl w:val="0"/>
        <w:tabs>
          <w:tab w:val="right" w:leader="dot" w:pos="8306"/>
        </w:tabs>
        <w:spacing w:after="0" w:line="240" w:lineRule="auto"/>
        <w:jc w:val="both"/>
        <w:rPr>
          <w:rFonts w:ascii="仿宋_GB2312" w:hAnsi="仿宋_GB2312" w:eastAsia="仿宋_GB2312" w:cs="仿宋_GB2312"/>
          <w:b/>
          <w:bCs/>
          <w:kern w:val="2"/>
          <w:sz w:val="32"/>
          <w:szCs w:val="32"/>
          <w:lang w:eastAsia="zh-CN"/>
        </w:rPr>
      </w:pPr>
      <w:r>
        <w:rPr>
          <w:rFonts w:hint="eastAsia" w:ascii="仿宋_GB2312" w:hAnsi="仿宋_GB2312" w:eastAsia="仿宋_GB2312" w:cs="仿宋_GB2312"/>
          <w:b/>
          <w:bCs/>
          <w:kern w:val="2"/>
          <w:sz w:val="32"/>
          <w:szCs w:val="32"/>
          <w:lang w:eastAsia="zh-CN"/>
        </w:rPr>
        <w:t>第一部分 单位概况</w:t>
      </w:r>
    </w:p>
    <w:p w14:paraId="5E30C7D3">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一、主要职能</w:t>
      </w:r>
    </w:p>
    <w:p w14:paraId="662AA2B1">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二、机构设置</w:t>
      </w:r>
    </w:p>
    <w:p w14:paraId="072A4B07">
      <w:pPr>
        <w:pStyle w:val="11"/>
        <w:widowControl w:val="0"/>
        <w:tabs>
          <w:tab w:val="right" w:leader="dot" w:pos="8306"/>
        </w:tabs>
        <w:spacing w:after="0" w:line="560" w:lineRule="exact"/>
        <w:jc w:val="both"/>
        <w:rPr>
          <w:rFonts w:ascii="仿宋_GB2312" w:hAnsi="仿宋_GB2312" w:eastAsia="仿宋_GB2312" w:cs="仿宋_GB2312"/>
          <w:b/>
          <w:bCs/>
          <w:kern w:val="2"/>
          <w:sz w:val="32"/>
          <w:szCs w:val="32"/>
          <w:lang w:eastAsia="zh-CN"/>
        </w:rPr>
      </w:pPr>
      <w:r>
        <w:rPr>
          <w:rFonts w:hint="eastAsia" w:ascii="仿宋_GB2312" w:hAnsi="仿宋_GB2312" w:eastAsia="仿宋_GB2312" w:cs="仿宋_GB2312"/>
          <w:b/>
          <w:bCs/>
          <w:kern w:val="2"/>
          <w:sz w:val="32"/>
          <w:szCs w:val="32"/>
          <w:lang w:eastAsia="zh-CN"/>
        </w:rPr>
        <w:t>第二部分 部门决算情况说明</w:t>
      </w:r>
    </w:p>
    <w:p w14:paraId="78B1ED4A">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一、收入支出决算总体情况说明</w:t>
      </w:r>
    </w:p>
    <w:p w14:paraId="10F2CB05">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二、收入决算情况说明</w:t>
      </w:r>
    </w:p>
    <w:p w14:paraId="52C85154">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三、支出决算情况说明</w:t>
      </w:r>
    </w:p>
    <w:p w14:paraId="7EAA1EFF">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四、财政拨款收入支出决算总体情况说明</w:t>
      </w:r>
    </w:p>
    <w:p w14:paraId="7491E6AC">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五、一般公共预算财政拨款支出决算情况说明</w:t>
      </w:r>
    </w:p>
    <w:p w14:paraId="0222B87D">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（一）一般公共预算财政拨款支出决算总体情况</w:t>
      </w:r>
    </w:p>
    <w:p w14:paraId="0AF4F5F1">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（二）一般公共预算财政拨款支出决算结构情况</w:t>
      </w:r>
    </w:p>
    <w:p w14:paraId="791FE9A0">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（三）一般公共预算财政拨款支出决算具体情况</w:t>
      </w:r>
    </w:p>
    <w:p w14:paraId="1C6CD170">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六、一般公共预算财政拨款基本支出决算情况说明</w:t>
      </w:r>
    </w:p>
    <w:p w14:paraId="24C6ABFD">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七、政府性基金预算财政拨款收入支出决算情况说明</w:t>
      </w:r>
    </w:p>
    <w:p w14:paraId="68B05D64">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八、国有资本经营预算财政拨款收入支出决算情况说明</w:t>
      </w:r>
    </w:p>
    <w:p w14:paraId="44719700">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九、财政拨款“三公”经费支出决算情况说明</w:t>
      </w:r>
    </w:p>
    <w:p w14:paraId="7E891952">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十、其他重要事项的情况说明</w:t>
      </w:r>
    </w:p>
    <w:p w14:paraId="67C47A90">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（一）机关运行经费及公用经费支出情况</w:t>
      </w:r>
    </w:p>
    <w:p w14:paraId="6F33682D">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（二）政府采购情况</w:t>
      </w:r>
    </w:p>
    <w:p w14:paraId="076551D3">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（三）国有资产占用情况说明</w:t>
      </w:r>
    </w:p>
    <w:p w14:paraId="78184FAA">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十一、预算绩效的情况说明</w:t>
      </w:r>
    </w:p>
    <w:p w14:paraId="41D9EF57">
      <w:pPr>
        <w:pStyle w:val="11"/>
        <w:widowControl w:val="0"/>
        <w:tabs>
          <w:tab w:val="right" w:leader="dot" w:pos="8306"/>
        </w:tabs>
        <w:spacing w:after="0" w:line="560" w:lineRule="exact"/>
        <w:jc w:val="both"/>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十二、其他需说明的事项</w:t>
      </w:r>
    </w:p>
    <w:p w14:paraId="57B73673">
      <w:pPr>
        <w:pStyle w:val="11"/>
        <w:widowControl w:val="0"/>
        <w:tabs>
          <w:tab w:val="right" w:leader="dot" w:pos="8306"/>
        </w:tabs>
        <w:spacing w:after="0" w:line="560" w:lineRule="exact"/>
        <w:jc w:val="both"/>
        <w:rPr>
          <w:rFonts w:ascii="仿宋_GB2312" w:hAnsi="仿宋_GB2312" w:eastAsia="仿宋_GB2312" w:cs="仿宋_GB2312"/>
          <w:b/>
          <w:bCs/>
          <w:kern w:val="2"/>
          <w:sz w:val="32"/>
          <w:szCs w:val="32"/>
          <w:lang w:eastAsia="zh-CN"/>
        </w:rPr>
      </w:pPr>
      <w:r>
        <w:rPr>
          <w:rFonts w:hint="eastAsia" w:ascii="仿宋_GB2312" w:hAnsi="仿宋_GB2312" w:eastAsia="仿宋_GB2312" w:cs="仿宋_GB2312"/>
          <w:b/>
          <w:bCs/>
          <w:kern w:val="2"/>
          <w:sz w:val="32"/>
          <w:szCs w:val="32"/>
          <w:lang w:eastAsia="zh-CN"/>
        </w:rPr>
        <w:t>第三部分 专业名词解释</w:t>
      </w:r>
    </w:p>
    <w:p w14:paraId="45DD3BF4">
      <w:pPr>
        <w:pStyle w:val="11"/>
        <w:widowControl w:val="0"/>
        <w:tabs>
          <w:tab w:val="right" w:leader="dot" w:pos="8306"/>
        </w:tabs>
        <w:spacing w:after="0" w:line="560" w:lineRule="exact"/>
        <w:jc w:val="both"/>
        <w:rPr>
          <w:rFonts w:ascii="仿宋_GB2312" w:hAnsi="仿宋_GB2312" w:eastAsia="仿宋_GB2312" w:cs="仿宋_GB2312"/>
          <w:bCs/>
          <w:sz w:val="32"/>
          <w:szCs w:val="32"/>
          <w:lang w:eastAsia="zh-CN"/>
        </w:rPr>
      </w:pPr>
      <w:r>
        <w:rPr>
          <w:rFonts w:hint="eastAsia" w:ascii="仿宋_GB2312" w:hAnsi="仿宋_GB2312" w:eastAsia="仿宋_GB2312" w:cs="仿宋_GB2312"/>
          <w:b/>
          <w:bCs/>
          <w:kern w:val="2"/>
          <w:sz w:val="32"/>
          <w:szCs w:val="32"/>
          <w:lang w:eastAsia="zh-CN"/>
        </w:rPr>
        <w:t>第四部分 部门决算报表（见附表）</w:t>
      </w:r>
    </w:p>
    <w:p w14:paraId="7A4AF186">
      <w:pPr>
        <w:pStyle w:val="11"/>
        <w:widowControl w:val="0"/>
        <w:tabs>
          <w:tab w:val="right" w:leader="dot" w:pos="8306"/>
        </w:tabs>
        <w:spacing w:after="0" w:line="560" w:lineRule="exact"/>
        <w:jc w:val="both"/>
        <w:rPr>
          <w:rFonts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一、《收入支出决算总表》</w:t>
      </w:r>
    </w:p>
    <w:p w14:paraId="4BC80196">
      <w:pPr>
        <w:pStyle w:val="11"/>
        <w:widowControl w:val="0"/>
        <w:tabs>
          <w:tab w:val="right" w:leader="dot" w:pos="8306"/>
        </w:tabs>
        <w:spacing w:after="0" w:line="560" w:lineRule="exact"/>
        <w:jc w:val="both"/>
        <w:rPr>
          <w:rFonts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二、《收入决算表》</w:t>
      </w:r>
    </w:p>
    <w:p w14:paraId="5A9CA80E">
      <w:pPr>
        <w:pStyle w:val="11"/>
        <w:widowControl w:val="0"/>
        <w:tabs>
          <w:tab w:val="right" w:leader="dot" w:pos="8306"/>
        </w:tabs>
        <w:spacing w:after="0" w:line="560" w:lineRule="exact"/>
        <w:jc w:val="both"/>
        <w:rPr>
          <w:rFonts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三、《支出决算表》</w:t>
      </w:r>
    </w:p>
    <w:p w14:paraId="7440F893">
      <w:pPr>
        <w:pStyle w:val="11"/>
        <w:widowControl w:val="0"/>
        <w:tabs>
          <w:tab w:val="right" w:leader="dot" w:pos="8306"/>
        </w:tabs>
        <w:spacing w:after="0" w:line="560" w:lineRule="exact"/>
        <w:jc w:val="both"/>
        <w:rPr>
          <w:rFonts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四、《财政拨款收入支出决算总表》</w:t>
      </w:r>
    </w:p>
    <w:p w14:paraId="5D0E0272">
      <w:pPr>
        <w:pStyle w:val="11"/>
        <w:widowControl w:val="0"/>
        <w:tabs>
          <w:tab w:val="right" w:leader="dot" w:pos="8306"/>
        </w:tabs>
        <w:spacing w:after="0" w:line="560" w:lineRule="exact"/>
        <w:jc w:val="both"/>
        <w:rPr>
          <w:rFonts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五、《一般公共预算财政拨款支出决算表》</w:t>
      </w:r>
    </w:p>
    <w:p w14:paraId="661A2D2D">
      <w:pPr>
        <w:pStyle w:val="11"/>
        <w:widowControl w:val="0"/>
        <w:tabs>
          <w:tab w:val="right" w:leader="dot" w:pos="8306"/>
        </w:tabs>
        <w:spacing w:after="0" w:line="560" w:lineRule="exact"/>
        <w:jc w:val="both"/>
        <w:rPr>
          <w:rFonts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六、《一般公共预算财政拨款基本支出决算表》</w:t>
      </w:r>
    </w:p>
    <w:p w14:paraId="20109D7F">
      <w:pPr>
        <w:pStyle w:val="11"/>
        <w:widowControl w:val="0"/>
        <w:tabs>
          <w:tab w:val="right" w:leader="dot" w:pos="8306"/>
        </w:tabs>
        <w:spacing w:after="0" w:line="560" w:lineRule="exact"/>
        <w:jc w:val="both"/>
        <w:rPr>
          <w:rFonts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七、《政府性基金预算财政拨款收入支出决算表》</w:t>
      </w:r>
    </w:p>
    <w:p w14:paraId="432B2833">
      <w:pPr>
        <w:pStyle w:val="11"/>
        <w:widowControl w:val="0"/>
        <w:tabs>
          <w:tab w:val="right" w:leader="dot" w:pos="8306"/>
        </w:tabs>
        <w:spacing w:after="0" w:line="560" w:lineRule="exact"/>
        <w:jc w:val="both"/>
        <w:rPr>
          <w:rFonts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八、《国有资本经营预算财政拨款收入支出决算表》</w:t>
      </w:r>
    </w:p>
    <w:p w14:paraId="22C8791F">
      <w:pPr>
        <w:pStyle w:val="11"/>
        <w:widowControl w:val="0"/>
        <w:tabs>
          <w:tab w:val="right" w:leader="dot" w:pos="8306"/>
        </w:tabs>
        <w:spacing w:after="0" w:line="560" w:lineRule="exact"/>
        <w:jc w:val="both"/>
        <w:rPr>
          <w:rFonts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九、《财政拨款“三公”经费支出决算表》</w:t>
      </w:r>
    </w:p>
    <w:p w14:paraId="76AC8290">
      <w:pPr>
        <w:pStyle w:val="11"/>
        <w:widowControl w:val="0"/>
        <w:tabs>
          <w:tab w:val="right" w:leader="dot" w:pos="8306"/>
        </w:tabs>
        <w:spacing w:after="0" w:line="560" w:lineRule="exact"/>
        <w:jc w:val="both"/>
        <w:rPr>
          <w:rFonts w:ascii="仿宋_GB2312" w:hAnsi="仿宋_GB2312" w:eastAsia="仿宋_GB2312" w:cs="仿宋_GB2312"/>
          <w:b/>
          <w:bCs/>
          <w:kern w:val="2"/>
          <w:sz w:val="32"/>
          <w:szCs w:val="32"/>
          <w:lang w:eastAsia="zh-CN"/>
        </w:rPr>
      </w:pPr>
      <w:r>
        <w:rPr>
          <w:rFonts w:hint="eastAsia" w:ascii="仿宋_GB2312" w:hAnsi="仿宋_GB2312" w:eastAsia="仿宋_GB2312" w:cs="仿宋_GB2312"/>
          <w:b/>
          <w:bCs/>
          <w:kern w:val="2"/>
          <w:sz w:val="32"/>
          <w:szCs w:val="32"/>
          <w:lang w:eastAsia="zh-CN"/>
        </w:rPr>
        <w:br w:type="page"/>
      </w:r>
    </w:p>
    <w:p w14:paraId="61D2CFBB">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79B5DE7C">
      <w:pPr>
        <w:spacing w:after="0" w:line="240" w:lineRule="auto"/>
        <w:ind w:firstLine="640" w:firstLineChars="200"/>
        <w:jc w:val="both"/>
        <w:outlineLvl w:val="1"/>
        <w:rPr>
          <w:rFonts w:ascii="黑体" w:eastAsia="黑体"/>
          <w:sz w:val="32"/>
          <w:szCs w:val="32"/>
          <w:lang w:eastAsia="zh-CN"/>
        </w:rPr>
      </w:pPr>
      <w:r>
        <w:rPr>
          <w:rFonts w:ascii="黑体" w:eastAsia="黑体"/>
          <w:sz w:val="32"/>
          <w:szCs w:val="32"/>
          <w:lang w:eastAsia="zh-CN"/>
        </w:rPr>
        <w:t>一、主要职能</w:t>
      </w:r>
    </w:p>
    <w:p w14:paraId="537864DD">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（1）承担自治区土地利用，矿产资源总体规划及专项规划业务技术工作，参与指导地、州、市、县（市）土地利用、矿产资源总体规划的有关技术工作。</w:t>
      </w:r>
    </w:p>
    <w:p w14:paraId="05168124">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（2）承担城乡土地资源现状调查评价和动态监测中的技术工作及成果应用和技术指导。</w:t>
      </w:r>
    </w:p>
    <w:p w14:paraId="09F81ED6">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（3）承担城乡地籍测量和调查的技术工作。</w:t>
      </w:r>
    </w:p>
    <w:p w14:paraId="35A2B571">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（4）从事国家等级内的各项测量工作和制图工作。</w:t>
      </w:r>
    </w:p>
    <w:p w14:paraId="2C895682">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（5）承担国家、自治区批准建设用地项目的土地权属勘界工作。</w:t>
      </w:r>
    </w:p>
    <w:p w14:paraId="4C123CF6">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（6）承担地、州、市土地勘测规划相关业务的技术指导。</w:t>
      </w:r>
    </w:p>
    <w:p w14:paraId="7A74F2CB">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（7）参与自治区矿产资源补偿费地质勘查项目、矿产资源保护项目和地质勘查专项资金项目的立项审查和成果验收。</w:t>
      </w:r>
    </w:p>
    <w:p w14:paraId="51B3F506">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（8）承担自治区矿产资源补偿费地质勘查项目、矿产资源保护项目和地质勘查专项资金项目的设计审核、质量监理。</w:t>
      </w:r>
    </w:p>
    <w:p w14:paraId="3AF790DE">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（9）承担地、州、市国土资源规划院（队）相关业务的技术指导。</w:t>
      </w:r>
    </w:p>
    <w:p w14:paraId="6CF541E8">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（10）开展相关的科研工作。</w:t>
      </w:r>
    </w:p>
    <w:p w14:paraId="112665C5">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（11）承办厅交办的其他事项。</w:t>
      </w:r>
    </w:p>
    <w:p w14:paraId="28075F6E">
      <w:pPr>
        <w:spacing w:after="0" w:line="240" w:lineRule="auto"/>
        <w:ind w:firstLine="640" w:firstLineChars="200"/>
        <w:jc w:val="both"/>
        <w:outlineLvl w:val="1"/>
        <w:rPr>
          <w:rFonts w:ascii="黑体" w:eastAsia="黑体"/>
          <w:sz w:val="32"/>
          <w:szCs w:val="32"/>
          <w:lang w:eastAsia="zh-CN"/>
        </w:rPr>
      </w:pPr>
      <w:r>
        <w:rPr>
          <w:rFonts w:ascii="黑体" w:eastAsia="黑体"/>
          <w:sz w:val="32"/>
          <w:szCs w:val="32"/>
          <w:lang w:eastAsia="zh-CN"/>
        </w:rPr>
        <w:t>二、机构设置</w:t>
      </w:r>
    </w:p>
    <w:p w14:paraId="5DEB501E">
      <w:pPr>
        <w:widowControl w:val="0"/>
        <w:spacing w:after="0" w:line="560" w:lineRule="exact"/>
        <w:ind w:firstLine="640" w:firstLineChars="200"/>
        <w:jc w:val="both"/>
        <w:rPr>
          <w:rFonts w:ascii="仿宋_GB2312" w:hAnsi="Times New Roman" w:eastAsia="仿宋_GB2312" w:cs="Times New Roman"/>
          <w:kern w:val="2"/>
          <w:sz w:val="32"/>
          <w:szCs w:val="32"/>
          <w:lang w:eastAsia="zh-CN"/>
        </w:rPr>
      </w:pPr>
      <w:r>
        <w:rPr>
          <w:rFonts w:hint="eastAsia" w:ascii="仿宋_GB2312" w:hAnsi="Times New Roman" w:eastAsia="仿宋_GB2312" w:cs="Times New Roman"/>
          <w:kern w:val="2"/>
          <w:sz w:val="32"/>
          <w:szCs w:val="32"/>
          <w:lang w:eastAsia="zh-CN"/>
        </w:rPr>
        <w:t>新疆维吾尔自治区自然资源规划研究院无下属预算单位。</w:t>
      </w:r>
    </w:p>
    <w:p w14:paraId="231F829C">
      <w:pPr>
        <w:spacing w:after="0" w:line="560" w:lineRule="exact"/>
        <w:ind w:firstLine="640" w:firstLineChars="200"/>
        <w:jc w:val="both"/>
        <w:rPr>
          <w:rFonts w:ascii="仿宋_GB2312" w:hAnsi="仿宋_GB2312" w:eastAsia="仿宋_GB2312" w:cs="仿宋_GB2312"/>
          <w:sz w:val="32"/>
          <w:szCs w:val="32"/>
          <w:lang w:eastAsia="zh-CN"/>
        </w:rPr>
      </w:pPr>
    </w:p>
    <w:p w14:paraId="46D67E1B">
      <w:pPr>
        <w:jc w:val="both"/>
        <w:rPr>
          <w:lang w:eastAsia="zh-CN"/>
        </w:rPr>
      </w:pPr>
      <w:r>
        <w:rPr>
          <w:sz w:val="0"/>
          <w:szCs w:val="0"/>
          <w:lang w:eastAsia="zh-CN"/>
        </w:rPr>
        <w:br w:type="page"/>
      </w:r>
    </w:p>
    <w:p w14:paraId="272EA5A2">
      <w:pPr>
        <w:spacing w:after="0" w:line="560" w:lineRule="exact"/>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6470EC5D">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一、收入支出决算总体情况说明</w:t>
      </w:r>
    </w:p>
    <w:p w14:paraId="7A6D058F">
      <w:pPr>
        <w:widowControl w:val="0"/>
        <w:spacing w:after="0" w:line="560" w:lineRule="exact"/>
        <w:ind w:firstLine="640" w:firstLineChars="200"/>
        <w:jc w:val="both"/>
        <w:rPr>
          <w:rFonts w:ascii="仿宋_GB2312" w:hAnsi="Times New Roman" w:eastAsia="仿宋_GB2312" w:cs="Times New Roman"/>
          <w:kern w:val="2"/>
          <w:sz w:val="32"/>
          <w:szCs w:val="32"/>
          <w:lang w:eastAsia="zh-CN"/>
        </w:rPr>
      </w:pPr>
      <w:r>
        <w:rPr>
          <w:rFonts w:hint="eastAsia" w:ascii="仿宋_GB2312" w:hAnsi="Times New Roman" w:eastAsia="仿宋_GB2312" w:cs="Times New Roman"/>
          <w:kern w:val="2"/>
          <w:sz w:val="32"/>
          <w:szCs w:val="32"/>
          <w:lang w:eastAsia="zh-CN"/>
        </w:rPr>
        <w:t>2025年度收入总计6,156.79万元，其中：本年收入合计5,444.22万元，使用非财政拨款结余（含专用结余）572.84万元，年初结转和结余139.74万元。</w:t>
      </w:r>
    </w:p>
    <w:p w14:paraId="59F5CF3A">
      <w:pPr>
        <w:widowControl w:val="0"/>
        <w:spacing w:after="0" w:line="560" w:lineRule="exact"/>
        <w:ind w:firstLine="640" w:firstLineChars="200"/>
        <w:jc w:val="both"/>
        <w:rPr>
          <w:rFonts w:ascii="仿宋_GB2312" w:hAnsi="Times New Roman" w:eastAsia="仿宋_GB2312" w:cs="Times New Roman"/>
          <w:kern w:val="2"/>
          <w:sz w:val="32"/>
          <w:szCs w:val="32"/>
          <w:lang w:eastAsia="zh-CN"/>
        </w:rPr>
      </w:pPr>
      <w:r>
        <w:rPr>
          <w:rFonts w:hint="eastAsia" w:ascii="仿宋_GB2312" w:hAnsi="Times New Roman" w:eastAsia="仿宋_GB2312" w:cs="Times New Roman"/>
          <w:kern w:val="2"/>
          <w:sz w:val="32"/>
          <w:szCs w:val="32"/>
          <w:lang w:eastAsia="zh-CN"/>
        </w:rPr>
        <w:t>2025年度支出总计6,156.79万元，其中：本年支出合计6,038.85万元，结余分配109.09万元，年末结转和结余8.84万元。</w:t>
      </w:r>
    </w:p>
    <w:p w14:paraId="01B923BF">
      <w:pPr>
        <w:widowControl w:val="0"/>
        <w:spacing w:after="0" w:line="560" w:lineRule="exact"/>
        <w:ind w:firstLine="640" w:firstLineChars="200"/>
        <w:jc w:val="both"/>
        <w:rPr>
          <w:rFonts w:ascii="仿宋_GB2312" w:hAnsi="Times New Roman" w:eastAsia="仿宋_GB2312" w:cs="Times New Roman"/>
          <w:kern w:val="2"/>
          <w:sz w:val="32"/>
          <w:szCs w:val="32"/>
          <w:lang w:eastAsia="zh-CN"/>
        </w:rPr>
      </w:pPr>
      <w:r>
        <w:rPr>
          <w:rFonts w:hint="eastAsia" w:ascii="仿宋_GB2312" w:hAnsi="Times New Roman" w:eastAsia="仿宋_GB2312" w:cs="Times New Roman"/>
          <w:kern w:val="2"/>
          <w:sz w:val="32"/>
          <w:szCs w:val="32"/>
          <w:lang w:eastAsia="zh-CN"/>
        </w:rPr>
        <w:t>收入支出总体与上年相比，减少2,648.41万元，下降30.08%，主要原因是：1.根据市场招标行为取得收入，有诸多不确定因素，导致本年经营收入减少；2.财政专项业务收入较上年有所减少；3.本年在职人员减少5人，综上所述，收支总额较上年减少。</w:t>
      </w:r>
    </w:p>
    <w:p w14:paraId="4A47CEF9">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二、收入决算情况说明</w:t>
      </w:r>
    </w:p>
    <w:p w14:paraId="07CA8FD1">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本年收入5,444.22万元，其中：财政拨款收入5,090.73万元,占93.51%；上级补助收入0.00万元,占0.00%；事业收入0.00万元，占0.00%；经营收入350.73万元,占6.44%；附属单位上缴收入0.00万元，占0.00%；其他收入2.75万元，占0.05%。</w:t>
      </w:r>
    </w:p>
    <w:p w14:paraId="6DA281D0">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三、支出决算情况说明</w:t>
      </w:r>
    </w:p>
    <w:p w14:paraId="2E113299">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本年支出6,038.85万元，其中：基本支出2,158.81万元，占35.75%；项目支出3,529.31万元，占58.44%；上缴上级支出0.00万元，占0.00%；经营支出350.73万元，占5.81%；对附属单位补助支出0.00万元，占0.00%。</w:t>
      </w:r>
    </w:p>
    <w:p w14:paraId="54638F52">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3436D10">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收入总计5,090.73万元，其中：年初财政拨款结转和结余0.00万元，本年财政拨款收入5,090.73万元。财政拨款支出总计5,090.73万元，其中：年末财政拨款结转和结余0.00万元，本年财政拨款支出5,090.73万元。</w:t>
      </w:r>
    </w:p>
    <w:p w14:paraId="077F71F7">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财政拨款收入支出总体与上年相比，增加634.82万元，增长14.25%，主要原因是：本年度增加耕地奖补资金项目。与年初预算相比，年初预算数3,942.76万元，决算数5,090.73万元，预决算差异率29.12%，主要原因是：1.年中</w:t>
      </w:r>
      <w:r>
        <w:rPr>
          <w:rFonts w:hint="eastAsia" w:ascii="仿宋_GB2312" w:eastAsia="仿宋_GB2312"/>
          <w:sz w:val="32"/>
          <w:szCs w:val="32"/>
          <w:lang w:eastAsia="zh-CN"/>
        </w:rPr>
        <w:t>追加耕地保护考核奖惩基金</w:t>
      </w:r>
      <w:r>
        <w:rPr>
          <w:rFonts w:ascii="仿宋_GB2312" w:eastAsia="仿宋_GB2312"/>
          <w:sz w:val="32"/>
          <w:szCs w:val="32"/>
          <w:lang w:eastAsia="zh-CN"/>
        </w:rPr>
        <w:t>项目；2.调增基本工资及医疗保险；3.追加2025年记实职业年金。</w:t>
      </w:r>
    </w:p>
    <w:p w14:paraId="023DAE2A">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61AF536F">
      <w:pPr>
        <w:widowControl w:val="0"/>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sz w:val="32"/>
          <w:szCs w:val="32"/>
          <w:lang w:eastAsia="zh-CN"/>
        </w:rPr>
        <w:t>单位日常运转</w:t>
      </w:r>
      <w:r>
        <w:rPr>
          <w:rFonts w:ascii="仿宋_GB2312" w:eastAsia="仿宋_GB2312"/>
          <w:sz w:val="32"/>
          <w:szCs w:val="32"/>
          <w:lang w:eastAsia="zh-CN"/>
        </w:rPr>
        <w:t>、</w:t>
      </w:r>
      <w:r>
        <w:rPr>
          <w:rFonts w:hint="eastAsia" w:ascii="仿宋_GB2312" w:eastAsia="仿宋_GB2312"/>
          <w:sz w:val="32"/>
          <w:szCs w:val="32"/>
          <w:lang w:eastAsia="zh-CN"/>
        </w:rPr>
        <w:t>完成重点工作任务</w:t>
      </w:r>
      <w:r>
        <w:rPr>
          <w:rFonts w:ascii="仿宋_GB2312" w:eastAsia="仿宋_GB2312"/>
          <w:sz w:val="32"/>
          <w:szCs w:val="32"/>
          <w:lang w:eastAsia="zh-CN"/>
        </w:rPr>
        <w:t>、</w:t>
      </w:r>
      <w:r>
        <w:rPr>
          <w:rFonts w:hint="eastAsia" w:ascii="仿宋_GB2312" w:eastAsia="仿宋_GB2312"/>
          <w:sz w:val="32"/>
          <w:szCs w:val="32"/>
          <w:lang w:eastAsia="zh-CN"/>
        </w:rPr>
        <w:t>推进事业发展需要</w:t>
      </w:r>
      <w:r>
        <w:rPr>
          <w:rFonts w:ascii="仿宋_GB2312" w:eastAsia="仿宋_GB2312"/>
          <w:sz w:val="32"/>
          <w:szCs w:val="32"/>
          <w:lang w:eastAsia="zh-CN"/>
        </w:rPr>
        <w:t>等重点支出，体现在有关支出科目中</w:t>
      </w:r>
      <w:r>
        <w:rPr>
          <w:rFonts w:hint="eastAsia" w:ascii="仿宋_GB2312" w:eastAsia="仿宋_GB2312"/>
          <w:sz w:val="32"/>
          <w:szCs w:val="32"/>
          <w:lang w:eastAsia="zh-CN"/>
        </w:rPr>
        <w:t>。</w:t>
      </w:r>
    </w:p>
    <w:p w14:paraId="4EE6DA0A">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按照支出功能分类，自然资源海洋气象等支出（类）自然资源事务（款）自然资源调查与确权登记（项）的支出占本年财政拨款支出总额的比重最高，2025年度决算数为2,353.17万元，占比为</w:t>
      </w:r>
      <w:r>
        <w:rPr>
          <w:rFonts w:hint="eastAsia" w:ascii="仿宋_GB2312" w:eastAsia="仿宋_GB2312"/>
          <w:sz w:val="32"/>
          <w:szCs w:val="32"/>
          <w:lang w:val="en-US" w:eastAsia="zh-CN"/>
        </w:rPr>
        <w:t>46.22</w:t>
      </w:r>
      <w:r>
        <w:rPr>
          <w:rFonts w:ascii="仿宋_GB2312" w:eastAsia="仿宋_GB2312"/>
          <w:sz w:val="32"/>
          <w:szCs w:val="32"/>
          <w:lang w:eastAsia="zh-CN"/>
        </w:rPr>
        <w:t>%，主要用于新疆维吾尔自治区自然资源调查监测评价及监管执法综合技术体系研究项目。</w:t>
      </w:r>
    </w:p>
    <w:p w14:paraId="3FD81850">
      <w:pPr>
        <w:spacing w:after="0" w:line="560" w:lineRule="exact"/>
        <w:ind w:firstLine="640" w:firstLineChars="200"/>
        <w:jc w:val="both"/>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49660BA3">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支出4,055.49万元，占本年支出合计的67.16%。与上年相比，减少400.42万元，下降8.99%，主要原因是：1.财政专项业务收入较上年有所减少；2.本年在职人员减少5人。与年初预算相比，年初预算数3,942.76万元，决算数4,055.49万元，预决算差异率2.86%，主要原因是：1.调增基本工资及医疗保险；2.追加2025年记实职业年金。</w:t>
      </w:r>
    </w:p>
    <w:p w14:paraId="3BB6E140">
      <w:pPr>
        <w:spacing w:after="0" w:line="560" w:lineRule="exact"/>
        <w:ind w:firstLine="640" w:firstLineChars="200"/>
        <w:jc w:val="both"/>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DE5CF88">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社会保障和就业支出（类）367.63万元，占9.06%</w:t>
      </w:r>
      <w:r>
        <w:rPr>
          <w:rFonts w:hint="eastAsia" w:ascii="仿宋_GB2312" w:eastAsia="仿宋_GB2312"/>
          <w:sz w:val="32"/>
          <w:szCs w:val="32"/>
          <w:lang w:eastAsia="zh-CN"/>
        </w:rPr>
        <w:t>；</w:t>
      </w:r>
    </w:p>
    <w:p w14:paraId="4912BFCA">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卫生健康支出（类）144.04万元，占3.55%</w:t>
      </w:r>
      <w:r>
        <w:rPr>
          <w:rFonts w:hint="eastAsia" w:ascii="仿宋_GB2312" w:eastAsia="仿宋_GB2312"/>
          <w:sz w:val="32"/>
          <w:szCs w:val="32"/>
          <w:lang w:eastAsia="zh-CN"/>
        </w:rPr>
        <w:t>；</w:t>
      </w:r>
    </w:p>
    <w:p w14:paraId="18385CE7">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自然资源海洋气象等支出（类）3,439.44万元，占84.81%</w:t>
      </w:r>
      <w:r>
        <w:rPr>
          <w:rFonts w:hint="eastAsia" w:ascii="仿宋_GB2312" w:eastAsia="仿宋_GB2312"/>
          <w:sz w:val="32"/>
          <w:szCs w:val="32"/>
          <w:lang w:eastAsia="zh-CN"/>
        </w:rPr>
        <w:t>；</w:t>
      </w:r>
    </w:p>
    <w:p w14:paraId="7E67FFCF">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住房保障支出（类）104.37万元，占2.57%。</w:t>
      </w:r>
    </w:p>
    <w:p w14:paraId="0AAF93E3">
      <w:pPr>
        <w:spacing w:after="0" w:line="560" w:lineRule="exact"/>
        <w:ind w:firstLine="640" w:firstLineChars="200"/>
        <w:jc w:val="both"/>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4714C024">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w:t>
      </w:r>
      <w:r>
        <w:rPr>
          <w:rFonts w:hint="eastAsia" w:ascii="仿宋_GB2312" w:eastAsia="仿宋_GB2312"/>
          <w:sz w:val="32"/>
          <w:szCs w:val="32"/>
          <w:lang w:eastAsia="zh-CN"/>
        </w:rPr>
        <w:t>.</w:t>
      </w:r>
      <w:r>
        <w:rPr>
          <w:rFonts w:ascii="仿宋_GB2312" w:eastAsia="仿宋_GB2312"/>
          <w:sz w:val="32"/>
          <w:szCs w:val="32"/>
          <w:lang w:eastAsia="zh-CN"/>
        </w:rPr>
        <w:t>社会保障和就业支出（类）人力资源和社会保障管理事务（款）其他人力资源和社会保障管理事务支出（项）：支出决算数为10.00万元，比上年决算增加0.00万元，增长0.00%，主要原因是：新疆人才发展基金天池英才引进计划项目按照年度拨付，每年拨付</w:t>
      </w:r>
      <w:r>
        <w:rPr>
          <w:rFonts w:hint="eastAsia" w:ascii="仿宋_GB2312" w:eastAsia="仿宋_GB2312"/>
          <w:sz w:val="32"/>
          <w:szCs w:val="32"/>
          <w:lang w:eastAsia="zh-CN"/>
        </w:rPr>
        <w:t>经费</w:t>
      </w:r>
      <w:r>
        <w:rPr>
          <w:rFonts w:hint="eastAsia" w:ascii="仿宋_GB2312" w:eastAsia="仿宋_GB2312"/>
          <w:sz w:val="32"/>
          <w:szCs w:val="32"/>
          <w:lang w:val="en-US" w:eastAsia="zh-CN"/>
        </w:rPr>
        <w:t>相同</w:t>
      </w:r>
      <w:r>
        <w:rPr>
          <w:rFonts w:ascii="仿宋_GB2312" w:eastAsia="仿宋_GB2312"/>
          <w:sz w:val="32"/>
          <w:szCs w:val="32"/>
          <w:lang w:eastAsia="zh-CN"/>
        </w:rPr>
        <w:t>。</w:t>
      </w:r>
    </w:p>
    <w:p w14:paraId="6FBD8402">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w:t>
      </w:r>
      <w:r>
        <w:rPr>
          <w:rFonts w:hint="eastAsia" w:ascii="仿宋_GB2312" w:eastAsia="仿宋_GB2312"/>
          <w:sz w:val="32"/>
          <w:szCs w:val="32"/>
          <w:lang w:eastAsia="zh-CN"/>
        </w:rPr>
        <w:t>.</w:t>
      </w:r>
      <w:r>
        <w:rPr>
          <w:rFonts w:ascii="仿宋_GB2312" w:eastAsia="仿宋_GB2312"/>
          <w:sz w:val="32"/>
          <w:szCs w:val="32"/>
          <w:lang w:eastAsia="zh-CN"/>
        </w:rPr>
        <w:t>社会保障和就业支出（类）行政事业单位养老支出（款）事业单位离退休（项）：支出决算数为99.17万元，比上年决算增加18.12万元，增长22.36%，主要原因是：1.调增退休人员基础绩效奖；2.本年新增退休人员2人。</w:t>
      </w:r>
    </w:p>
    <w:p w14:paraId="23E96760">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3</w:t>
      </w:r>
      <w:r>
        <w:rPr>
          <w:rFonts w:hint="eastAsia" w:ascii="仿宋_GB2312" w:eastAsia="仿宋_GB2312"/>
          <w:sz w:val="32"/>
          <w:szCs w:val="32"/>
          <w:lang w:eastAsia="zh-CN"/>
        </w:rPr>
        <w:t>.</w:t>
      </w:r>
      <w:r>
        <w:rPr>
          <w:rFonts w:ascii="仿宋_GB2312" w:eastAsia="仿宋_GB2312"/>
          <w:sz w:val="32"/>
          <w:szCs w:val="32"/>
          <w:lang w:eastAsia="zh-CN"/>
        </w:rPr>
        <w:t>社会保障和就业支出（类）行政事业单位养老支出（款）机关事业单位基本养老保险缴费支出（项）：支出决算数为138.97万元，比上年决算增加17.13万元，增长14.06%，主要原因是：工资正常晋级，相应的缴费基数调整，机关事业单位基本养老保险缴费支出比上年决算数增加。</w:t>
      </w:r>
    </w:p>
    <w:p w14:paraId="28410413">
      <w:pPr>
        <w:overflowPunct w:val="0"/>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4</w:t>
      </w:r>
      <w:r>
        <w:rPr>
          <w:rFonts w:hint="eastAsia" w:ascii="仿宋_GB2312" w:eastAsia="仿宋_GB2312"/>
          <w:sz w:val="32"/>
          <w:szCs w:val="32"/>
          <w:lang w:eastAsia="zh-CN"/>
        </w:rPr>
        <w:t>.</w:t>
      </w:r>
      <w:r>
        <w:rPr>
          <w:rFonts w:ascii="仿宋_GB2312" w:eastAsia="仿宋_GB2312"/>
          <w:sz w:val="32"/>
          <w:szCs w:val="32"/>
          <w:lang w:eastAsia="zh-CN"/>
        </w:rPr>
        <w:t>社会保障和就业支出（类）行政事业单位养老支出（款）机关事业单位职业年金缴费支出（项）：支出决算数为119.48万元，比上年决算增加82.82万元，增长225.91%，主要原因是</w:t>
      </w:r>
      <w:r>
        <w:rPr>
          <w:rFonts w:hint="eastAsia" w:ascii="仿宋_GB2312" w:eastAsia="仿宋_GB2312"/>
          <w:sz w:val="32"/>
          <w:szCs w:val="32"/>
          <w:lang w:eastAsia="zh-CN"/>
        </w:rPr>
        <w:t>：</w:t>
      </w:r>
      <w:r>
        <w:rPr>
          <w:rFonts w:ascii="仿宋_GB2312" w:eastAsia="仿宋_GB2312"/>
          <w:sz w:val="32"/>
          <w:szCs w:val="32"/>
          <w:lang w:eastAsia="zh-CN"/>
        </w:rPr>
        <w:t>按照</w:t>
      </w:r>
      <w:r>
        <w:rPr>
          <w:rFonts w:hint="eastAsia" w:ascii="仿宋_GB2312" w:eastAsia="仿宋_GB2312"/>
          <w:sz w:val="32"/>
          <w:szCs w:val="32"/>
          <w:lang w:eastAsia="zh-CN"/>
        </w:rPr>
        <w:t>《</w:t>
      </w:r>
      <w:r>
        <w:rPr>
          <w:rFonts w:ascii="仿宋_GB2312" w:eastAsia="仿宋_GB2312"/>
          <w:sz w:val="32"/>
          <w:szCs w:val="32"/>
          <w:lang w:eastAsia="zh-CN"/>
        </w:rPr>
        <w:t>自2025年起记实自治区本级财政全额供款单位的职业年金当年单位缴费的通知</w:t>
      </w:r>
      <w:r>
        <w:rPr>
          <w:rFonts w:hint="eastAsia" w:ascii="仿宋_GB2312" w:eastAsia="仿宋_GB2312"/>
          <w:sz w:val="32"/>
          <w:szCs w:val="32"/>
          <w:lang w:eastAsia="zh-CN"/>
        </w:rPr>
        <w:t>》</w:t>
      </w:r>
      <w:r>
        <w:rPr>
          <w:rFonts w:ascii="仿宋_GB2312" w:eastAsia="仿宋_GB2312"/>
          <w:sz w:val="32"/>
          <w:szCs w:val="32"/>
          <w:lang w:eastAsia="zh-CN"/>
        </w:rPr>
        <w:t>（新人社发〔2025〕18号），追加2025年职业年金</w:t>
      </w:r>
      <w:r>
        <w:rPr>
          <w:rFonts w:hint="eastAsia" w:ascii="仿宋_GB2312" w:eastAsia="仿宋_GB2312"/>
          <w:sz w:val="32"/>
          <w:szCs w:val="32"/>
          <w:lang w:eastAsia="zh-CN"/>
        </w:rPr>
        <w:t>单位部分</w:t>
      </w:r>
      <w:r>
        <w:rPr>
          <w:rFonts w:ascii="仿宋_GB2312" w:eastAsia="仿宋_GB2312"/>
          <w:sz w:val="32"/>
          <w:szCs w:val="32"/>
          <w:lang w:eastAsia="zh-CN"/>
        </w:rPr>
        <w:t>。</w:t>
      </w:r>
    </w:p>
    <w:p w14:paraId="1C4EFD8C">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5</w:t>
      </w:r>
      <w:r>
        <w:rPr>
          <w:rFonts w:hint="eastAsia" w:ascii="仿宋_GB2312" w:eastAsia="仿宋_GB2312"/>
          <w:sz w:val="32"/>
          <w:szCs w:val="32"/>
          <w:lang w:eastAsia="zh-CN"/>
        </w:rPr>
        <w:t>.</w:t>
      </w:r>
      <w:r>
        <w:rPr>
          <w:rFonts w:ascii="仿宋_GB2312" w:eastAsia="仿宋_GB2312"/>
          <w:sz w:val="32"/>
          <w:szCs w:val="32"/>
          <w:lang w:eastAsia="zh-CN"/>
        </w:rPr>
        <w:t>卫生健康支出（类）行政事业单位医疗（款）事业单位医疗（项）：支出决算数为83.15万元，比上年决算增加10.67万元，增长14.72%，主要原因是：2025年医疗保险基数调增，事业单位医疗支出比上年决算数增加。</w:t>
      </w:r>
    </w:p>
    <w:p w14:paraId="222B48ED">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6</w:t>
      </w:r>
      <w:r>
        <w:rPr>
          <w:rFonts w:hint="eastAsia" w:ascii="仿宋_GB2312" w:eastAsia="仿宋_GB2312"/>
          <w:sz w:val="32"/>
          <w:szCs w:val="32"/>
          <w:lang w:eastAsia="zh-CN"/>
        </w:rPr>
        <w:t>.</w:t>
      </w:r>
      <w:r>
        <w:rPr>
          <w:rFonts w:ascii="仿宋_GB2312" w:eastAsia="仿宋_GB2312"/>
          <w:sz w:val="32"/>
          <w:szCs w:val="32"/>
          <w:lang w:eastAsia="zh-CN"/>
        </w:rPr>
        <w:t>卫生健康支出（类）行政事业单位医疗（款）公务员医疗补助（项）：支出决算数为60.89万元，比上年决算减少1.26万元，下降2.03%，主要原因是：本年在职人员减少5人，相应公务员医疗补助支出比上年决算数减少</w:t>
      </w:r>
      <w:r>
        <w:rPr>
          <w:rFonts w:hint="eastAsia" w:ascii="仿宋_GB2312" w:eastAsia="仿宋_GB2312"/>
          <w:sz w:val="32"/>
          <w:szCs w:val="32"/>
          <w:lang w:eastAsia="zh-CN"/>
        </w:rPr>
        <w:t>。</w:t>
      </w:r>
    </w:p>
    <w:p w14:paraId="20B90B9A">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7</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自然资源调查与确权登记（项）：支出决算数为2,353.17万元，比上年决算增加2,353.17万元，增长100.00%，主要原因是：新疆维吾尔自治区自然资源调查监测评价及监管执法综合技术体系研究项目，2025年按照业务内容对其功能科目进行了调整，</w:t>
      </w:r>
      <w:r>
        <w:rPr>
          <w:rFonts w:hint="eastAsia" w:ascii="仿宋_GB2312" w:eastAsia="仿宋_GB2312"/>
          <w:sz w:val="32"/>
          <w:szCs w:val="32"/>
          <w:lang w:val="en-US" w:eastAsia="zh-CN"/>
        </w:rPr>
        <w:t>由</w:t>
      </w:r>
      <w:r>
        <w:rPr>
          <w:rFonts w:ascii="仿宋_GB2312" w:eastAsia="仿宋_GB2312"/>
          <w:sz w:val="32"/>
          <w:szCs w:val="32"/>
          <w:lang w:eastAsia="zh-CN"/>
        </w:rPr>
        <w:t>其他自然资源事务支出</w:t>
      </w:r>
      <w:r>
        <w:rPr>
          <w:rFonts w:hint="eastAsia" w:ascii="仿宋_GB2312" w:eastAsia="仿宋_GB2312"/>
          <w:sz w:val="32"/>
          <w:szCs w:val="32"/>
          <w:lang w:val="en-US" w:eastAsia="zh-CN"/>
        </w:rPr>
        <w:t>调整至</w:t>
      </w:r>
      <w:r>
        <w:rPr>
          <w:rFonts w:ascii="仿宋_GB2312" w:eastAsia="仿宋_GB2312"/>
          <w:sz w:val="32"/>
          <w:szCs w:val="32"/>
          <w:lang w:eastAsia="zh-CN"/>
        </w:rPr>
        <w:t>自然资源调查与确权登记，因此决算数较上年增加。</w:t>
      </w:r>
    </w:p>
    <w:p w14:paraId="79532422">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8</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自然资源海洋气象等支出（类）自然资源事务（款）事业运行（项）：支出决算数为1,086.27万元，比上年决算增加8.58万元，增长0.80%，主要原因是：调增基本工资</w:t>
      </w:r>
      <w:r>
        <w:rPr>
          <w:rFonts w:hint="eastAsia" w:ascii="仿宋_GB2312" w:eastAsia="仿宋_GB2312"/>
          <w:sz w:val="32"/>
          <w:szCs w:val="32"/>
          <w:lang w:eastAsia="zh-CN"/>
        </w:rPr>
        <w:t>，人员经费较上年增加</w:t>
      </w:r>
      <w:r>
        <w:rPr>
          <w:rFonts w:ascii="仿宋_GB2312" w:eastAsia="仿宋_GB2312"/>
          <w:sz w:val="32"/>
          <w:szCs w:val="32"/>
          <w:lang w:eastAsia="zh-CN"/>
        </w:rPr>
        <w:t>。</w:t>
      </w:r>
    </w:p>
    <w:p w14:paraId="6CA18AE6">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9</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其他自然资源事务支出（项）：支出决算数为0.00万元，比上年决算减少2,886.48万元，下降100.00%，主要原因是：新疆维吾尔自治区自然资源调查监测评价及监管执法综合技术体系研究项目，2025年按照业务内容对其功能科目进行了调整，</w:t>
      </w:r>
      <w:r>
        <w:rPr>
          <w:rFonts w:hint="eastAsia" w:ascii="仿宋_GB2312" w:eastAsia="仿宋_GB2312"/>
          <w:sz w:val="32"/>
          <w:szCs w:val="32"/>
          <w:lang w:val="en-US" w:eastAsia="zh-CN"/>
        </w:rPr>
        <w:t>由</w:t>
      </w:r>
      <w:r>
        <w:rPr>
          <w:rFonts w:ascii="仿宋_GB2312" w:eastAsia="仿宋_GB2312"/>
          <w:sz w:val="32"/>
          <w:szCs w:val="32"/>
          <w:lang w:eastAsia="zh-CN"/>
        </w:rPr>
        <w:t>其他自然资源事务支出</w:t>
      </w:r>
      <w:r>
        <w:rPr>
          <w:rFonts w:hint="eastAsia" w:ascii="仿宋_GB2312" w:eastAsia="仿宋_GB2312"/>
          <w:sz w:val="32"/>
          <w:szCs w:val="32"/>
          <w:lang w:val="en-US" w:eastAsia="zh-CN"/>
        </w:rPr>
        <w:t>调整至</w:t>
      </w:r>
      <w:r>
        <w:rPr>
          <w:rFonts w:ascii="仿宋_GB2312" w:eastAsia="仿宋_GB2312"/>
          <w:sz w:val="32"/>
          <w:szCs w:val="32"/>
          <w:lang w:eastAsia="zh-CN"/>
        </w:rPr>
        <w:t>自然资源调查与确权登记</w:t>
      </w:r>
      <w:bookmarkStart w:id="0" w:name="_GoBack"/>
      <w:bookmarkEnd w:id="0"/>
      <w:r>
        <w:rPr>
          <w:rFonts w:ascii="仿宋_GB2312" w:eastAsia="仿宋_GB2312"/>
          <w:sz w:val="32"/>
          <w:szCs w:val="32"/>
          <w:lang w:eastAsia="zh-CN"/>
        </w:rPr>
        <w:t>，因此决算数较上年减少。</w:t>
      </w:r>
    </w:p>
    <w:p w14:paraId="27CD15AA">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10</w:t>
      </w:r>
      <w:r>
        <w:rPr>
          <w:rFonts w:hint="eastAsia" w:ascii="仿宋_GB2312" w:eastAsia="仿宋_GB2312"/>
          <w:sz w:val="32"/>
          <w:szCs w:val="32"/>
          <w:lang w:eastAsia="zh-CN"/>
        </w:rPr>
        <w:t>.</w:t>
      </w:r>
      <w:r>
        <w:rPr>
          <w:rFonts w:ascii="仿宋_GB2312" w:eastAsia="仿宋_GB2312"/>
          <w:sz w:val="32"/>
          <w:szCs w:val="32"/>
          <w:lang w:eastAsia="zh-CN"/>
        </w:rPr>
        <w:t>住房保障支出（类）住房改革支出（款）住房公积金（项）：支出决算数为104.37万元，比上年决算减少3.18万元，下降2.96%，主要原因是：本年在职</w:t>
      </w:r>
      <w:r>
        <w:rPr>
          <w:rFonts w:hint="eastAsia" w:ascii="仿宋_GB2312" w:eastAsia="仿宋_GB2312"/>
          <w:sz w:val="32"/>
          <w:szCs w:val="32"/>
          <w:lang w:eastAsia="zh-CN"/>
        </w:rPr>
        <w:t>人员减少5</w:t>
      </w:r>
      <w:r>
        <w:rPr>
          <w:rFonts w:ascii="仿宋_GB2312" w:eastAsia="仿宋_GB2312"/>
          <w:sz w:val="32"/>
          <w:szCs w:val="32"/>
          <w:lang w:eastAsia="zh-CN"/>
        </w:rPr>
        <w:t>人，相应住房公积金支出比上年有所减少。</w:t>
      </w:r>
    </w:p>
    <w:p w14:paraId="2D8C566C">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388AC60">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基本支出1,692.32万元，其中：人员经费1,571.10万元，包括：基本工资、津贴补贴、奖金、绩效工资、机关事业单位基本养老保险缴费、职业年金缴费、职工基本医疗保险缴费、公务员医疗补助缴费、其他社会保障缴费、住房公积金、其他工资福利支出、退休费、抚恤金、生活补助和奖励金。</w:t>
      </w:r>
    </w:p>
    <w:p w14:paraId="7E59E830">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公用经费121.22万元，包括：水费、电费、邮电费、取暖费、物业管理费、差旅费、工会经费、福利费、公务用车运行维护费和其他商品和服务支出。</w:t>
      </w:r>
    </w:p>
    <w:p w14:paraId="59215638">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86DA124">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sz w:val="32"/>
          <w:szCs w:val="32"/>
          <w:lang w:eastAsia="zh-CN"/>
        </w:rPr>
        <w:t>单位日常运转</w:t>
      </w:r>
      <w:r>
        <w:rPr>
          <w:rFonts w:ascii="仿宋_GB2312" w:eastAsia="仿宋_GB2312"/>
          <w:sz w:val="32"/>
          <w:szCs w:val="32"/>
          <w:lang w:eastAsia="zh-CN"/>
        </w:rPr>
        <w:t>、</w:t>
      </w:r>
      <w:r>
        <w:rPr>
          <w:rFonts w:hint="eastAsia" w:ascii="仿宋_GB2312" w:eastAsia="仿宋_GB2312"/>
          <w:sz w:val="32"/>
          <w:szCs w:val="32"/>
          <w:lang w:eastAsia="zh-CN"/>
        </w:rPr>
        <w:t>完成重点工作任务</w:t>
      </w:r>
      <w:r>
        <w:rPr>
          <w:rFonts w:ascii="仿宋_GB2312" w:eastAsia="仿宋_GB2312"/>
          <w:sz w:val="32"/>
          <w:szCs w:val="32"/>
          <w:lang w:eastAsia="zh-CN"/>
        </w:rPr>
        <w:t>、</w:t>
      </w:r>
      <w:r>
        <w:rPr>
          <w:rFonts w:hint="eastAsia" w:ascii="仿宋_GB2312" w:eastAsia="仿宋_GB2312"/>
          <w:sz w:val="32"/>
          <w:szCs w:val="32"/>
          <w:lang w:eastAsia="zh-CN"/>
        </w:rPr>
        <w:t>推进事业发展需要</w:t>
      </w:r>
      <w:r>
        <w:rPr>
          <w:rFonts w:ascii="仿宋_GB2312" w:eastAsia="仿宋_GB2312"/>
          <w:sz w:val="32"/>
          <w:szCs w:val="32"/>
          <w:lang w:eastAsia="zh-CN"/>
        </w:rPr>
        <w:t>等重点支出等重点支出，体现在有关支出科目中。</w:t>
      </w:r>
    </w:p>
    <w:p w14:paraId="49CBC4BE">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2025年度政府性基金预算财政拨款收入总计1,035.24万元，其中：年初结转和结余0.00万元，本年收入1,035.24万元。政府性基金预算财政拨款支出总计1,035.24万元，其中：年末结转和结余0.00万元，本年支出1,035.24万元。</w:t>
      </w:r>
    </w:p>
    <w:p w14:paraId="7F22BCCC">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1,035.24万元，增长100%，主要原因是：按照上级部门工作安排本年年中增加新疆维吾尔自治区耕地保护网格化监管项目、新疆维吾尔自治区永久基本农田储备区划定项目、新疆维吾尔自治区耕地保护专项规划项目。与年初预算相比，年初预算数0.00万元，决算数1,035.24万元，预决算差异率100%，主要原因是：按照上级部门工作安排本年年中</w:t>
      </w:r>
      <w:r>
        <w:rPr>
          <w:rFonts w:hint="eastAsia" w:ascii="仿宋_GB2312" w:eastAsia="仿宋_GB2312"/>
          <w:sz w:val="32"/>
          <w:szCs w:val="32"/>
          <w:lang w:eastAsia="zh-CN"/>
        </w:rPr>
        <w:t>追加</w:t>
      </w:r>
      <w:r>
        <w:rPr>
          <w:rFonts w:ascii="仿宋_GB2312" w:eastAsia="仿宋_GB2312"/>
          <w:sz w:val="32"/>
          <w:szCs w:val="32"/>
          <w:lang w:eastAsia="zh-CN"/>
        </w:rPr>
        <w:t>新疆维吾尔自治区耕地保护网格化监管项目、新疆维吾尔自治区永久基本农田储备区划定项目、新疆维吾尔自治区耕地保护专项规划项目。</w:t>
      </w:r>
    </w:p>
    <w:p w14:paraId="313FCAA1">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政府性基金预算财政拨款本年支出1,035.24万元。具体情况如下：</w:t>
      </w:r>
    </w:p>
    <w:p w14:paraId="60D902E5">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自然资源海洋气象等支出（类）耕地保护考核奖惩基金支出（款）耕地保护（项）：支出决算数为1,035.24万元，比上年决算增加1,035.24万元，增长100.00%，主要原因是：按照上级部门工作安排本年年中增加新疆维吾尔自治区耕地保护网格化监管项目、新疆维吾尔自治区永久基本农田储备区划定项目、新疆维吾尔自治区耕地保护专项规划项目。</w:t>
      </w:r>
    </w:p>
    <w:p w14:paraId="1E0D845A">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6A3CB99">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5FE71F5">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26564446">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三公”经费支出11.40万元，比上年减少0.08万元，下降0.70%，主要原因是：因车辆实有数减少，导致燃油及过路费支出同比下降。其中：因公出国（境）费用支出0.00万元,占0.00%，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因公出国（境）费；公务用车购置及运行维护费支出11.40万元，占100.00%，比上年减少0.08万元，下降0.70%，主要原因是：因车辆实有数减少，导致燃油及过路费支出同比下降；公务接待费支出0.00万元，占0.00%，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无公务接待费。</w:t>
      </w:r>
    </w:p>
    <w:p w14:paraId="42359511">
      <w:pPr>
        <w:spacing w:after="0" w:line="560" w:lineRule="exact"/>
        <w:ind w:firstLine="643" w:firstLineChars="200"/>
        <w:jc w:val="both"/>
        <w:rPr>
          <w:rFonts w:ascii="仿宋_GB2312" w:eastAsia="仿宋_GB2312"/>
          <w:b/>
          <w:bCs/>
          <w:sz w:val="32"/>
          <w:szCs w:val="32"/>
          <w:lang w:eastAsia="zh-CN"/>
        </w:rPr>
      </w:pPr>
      <w:r>
        <w:rPr>
          <w:rFonts w:ascii="仿宋_GB2312" w:eastAsia="仿宋_GB2312"/>
          <w:b/>
          <w:bCs/>
          <w:sz w:val="32"/>
          <w:szCs w:val="32"/>
          <w:lang w:eastAsia="zh-CN"/>
        </w:rPr>
        <w:t>具体情况如下：</w:t>
      </w:r>
    </w:p>
    <w:p w14:paraId="02324268">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因公出国（境）费用0.00万元，开支内容包括我单位无因公出国（境）费。单位全年安排的因公出国（境）团组0个，因公出国（境）0人次。</w:t>
      </w:r>
    </w:p>
    <w:p w14:paraId="5882A5E4">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11.40万元，其中：公务用车购置费0.00万元，公务用车运行维护费11.40万元。公务用车运行维护费开支内容包括车辆燃油费、保险费和维修费等。公务用车购置数0辆，公务用车保有量4辆。国有资产占用情况中固定资产车辆4辆，与公务用车保有量差异原因是：固定资产车辆与公务用车保有量无差异。</w:t>
      </w:r>
    </w:p>
    <w:p w14:paraId="27880D98">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公务接待费0.00万元，开支内容包括我单位无公务接待费。单位全年安排的国内公务接待0批次，0人次。</w:t>
      </w:r>
    </w:p>
    <w:p w14:paraId="7A41D1DA">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与全年预算相比，财政拨款“三公”经费支出全年预算数12.42万元，决算数11.40万元，预决算差异率-8.21%，主要原因是：本年报废四辆车</w:t>
      </w:r>
      <w:r>
        <w:rPr>
          <w:rFonts w:hint="eastAsia" w:ascii="仿宋_GB2312" w:eastAsia="仿宋_GB2312"/>
          <w:sz w:val="32"/>
          <w:szCs w:val="32"/>
          <w:lang w:eastAsia="zh-CN"/>
        </w:rPr>
        <w:t>，相应支出较预算有所减少</w:t>
      </w:r>
      <w:r>
        <w:rPr>
          <w:rFonts w:ascii="仿宋_GB2312" w:eastAsia="仿宋_GB2312"/>
          <w:sz w:val="32"/>
          <w:szCs w:val="32"/>
          <w:lang w:eastAsia="zh-CN"/>
        </w:rPr>
        <w:t>。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12.42万元，决算数11.40万元，预决算差异率-8.21%，主要原因是：本年报废四辆车</w:t>
      </w:r>
      <w:r>
        <w:rPr>
          <w:rFonts w:hint="eastAsia" w:ascii="仿宋_GB2312" w:eastAsia="仿宋_GB2312"/>
          <w:sz w:val="32"/>
          <w:szCs w:val="32"/>
          <w:lang w:eastAsia="zh-CN"/>
        </w:rPr>
        <w:t>，相应支出较预算有所减少</w:t>
      </w:r>
      <w:r>
        <w:rPr>
          <w:rFonts w:ascii="仿宋_GB2312" w:eastAsia="仿宋_GB2312"/>
          <w:sz w:val="32"/>
          <w:szCs w:val="32"/>
          <w:lang w:eastAsia="zh-CN"/>
        </w:rPr>
        <w:t>；公务接待费全年预算数0.00万元，决算数0.00万元，预决算差异率0.00%，主要原因是：我单位无公务接待费。</w:t>
      </w:r>
    </w:p>
    <w:p w14:paraId="60190972">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十、其他重要事项的情况说明</w:t>
      </w:r>
    </w:p>
    <w:p w14:paraId="3B99AA0B">
      <w:pPr>
        <w:spacing w:after="0" w:line="560" w:lineRule="exact"/>
        <w:ind w:firstLine="640" w:firstLineChars="200"/>
        <w:jc w:val="both"/>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6348026B">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2025年度新疆维吾尔自治区自然资源规划研究院（事业单位）公用经费支出121.22万元，比上年增加4.22万元，增长3.61%，主要原因是：增加结亲人员交通费。</w:t>
      </w:r>
    </w:p>
    <w:p w14:paraId="7EC1861F">
      <w:pPr>
        <w:spacing w:after="0" w:line="560" w:lineRule="exact"/>
        <w:ind w:firstLine="640" w:firstLineChars="200"/>
        <w:jc w:val="both"/>
        <w:outlineLvl w:val="2"/>
        <w:rPr>
          <w:rFonts w:ascii="黑体" w:eastAsia="黑体"/>
          <w:sz w:val="32"/>
          <w:szCs w:val="32"/>
          <w:lang w:eastAsia="zh-CN"/>
        </w:rPr>
      </w:pPr>
      <w:r>
        <w:rPr>
          <w:rFonts w:ascii="黑体" w:eastAsia="黑体"/>
          <w:sz w:val="32"/>
          <w:szCs w:val="32"/>
          <w:lang w:eastAsia="zh-CN"/>
        </w:rPr>
        <w:t>（二）政府采购情况</w:t>
      </w:r>
    </w:p>
    <w:p w14:paraId="61132C6D">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2025年度政府采购支出总额4,305.01万元，其中：政府采购货物支出566.47万元、政府采购工程支出0.00万元、政府采购服务支出3,738.54万元。</w:t>
      </w:r>
    </w:p>
    <w:p w14:paraId="0B519208">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授予中小企业合同金额3,903.96万元，占政府采购支出总额的90.68%，其中：授予小微企业合同金额1,721.58万元，占政府采购支出总额的39.99%。</w:t>
      </w:r>
    </w:p>
    <w:p w14:paraId="7DC6D7A9">
      <w:pPr>
        <w:spacing w:after="0" w:line="560" w:lineRule="exact"/>
        <w:ind w:firstLine="640" w:firstLineChars="200"/>
        <w:jc w:val="both"/>
        <w:outlineLvl w:val="2"/>
        <w:rPr>
          <w:rFonts w:ascii="黑体" w:eastAsia="黑体"/>
          <w:sz w:val="32"/>
          <w:szCs w:val="32"/>
          <w:lang w:eastAsia="zh-CN"/>
        </w:rPr>
      </w:pPr>
      <w:r>
        <w:rPr>
          <w:rFonts w:ascii="黑体" w:eastAsia="黑体"/>
          <w:sz w:val="32"/>
          <w:szCs w:val="32"/>
          <w:lang w:eastAsia="zh-CN"/>
        </w:rPr>
        <w:t>（三）国有资产占用情况说明</w:t>
      </w:r>
    </w:p>
    <w:p w14:paraId="428877A2">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rPr>
        <w:t>截至2025年12月31日，房屋13,489.00平方米，价值6,485.27万元。</w:t>
      </w:r>
      <w:r>
        <w:rPr>
          <w:rFonts w:ascii="仿宋_GB2312" w:eastAsia="仿宋_GB2312"/>
          <w:sz w:val="32"/>
          <w:szCs w:val="32"/>
          <w:lang w:eastAsia="zh-CN"/>
        </w:rPr>
        <w:t>车辆4辆，价值174.58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1台（套）。</w:t>
      </w:r>
    </w:p>
    <w:p w14:paraId="04FEDA62">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十一、预算绩效的情况说明</w:t>
      </w:r>
    </w:p>
    <w:p w14:paraId="1469F1F9">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根据预算绩效管理要求，本单位2025年度预算绩效评价项目2个，全年预算数4,500万元，全年执行数3,301.3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eastAsia="zh-CN"/>
        </w:rPr>
        <w:t>万元。预算绩效管理取得的成效：1.调查监测类：开展2025年自治区季度、年度国土变更调查与遥感监测、草地专项调查、自治区林草湿荒造林绿化空间评估监测、自治区主要农作物智能解译关键技术研究等调查监测类项目，全面掌握自治区自然资源现状，有效保障国土调查数据的现势性，准确监测森林、草原、湿地资源现状和变化情况，为科学开展系统保护修复、监督管理、林长制督查考核等提供数据支持，为实现碳达峰、碳中和战略，实现林业、草原、国家公园“三位一体”高质量融合发展等开展技术探索和决策支持，切实履行“两统一”工作职责，为生态文明建设目标评价考核提供科学依据。同时，基于调查监测成果，科学分析、预测自然资源的利用现状和变化形势，提高自然资源的管理、保障和保护能力，为生态文明建设和自然资源管理工作提供基础数据支撑和服务保障，促进自治区经济社会全面协调可持续发展。2.规划利用类：</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lang w:eastAsia="zh-CN"/>
        </w:rPr>
        <w:t>开展自治区国土空间规划专项技术服务、自治区生态保护红线技术服务项目、自治区城乡建设用地增减挂钩技术服务、城镇土地定级与基准地价更新评价及各重点城市地价动态监测汇总分析等规划利用类项目，科学构建多层次评价指标体系，全面客观评价生态、农业、城镇功能水平，形成年度自治区国土空间规划实施监测评估报告，保障和指引自治区重大基础设施和民生保障项目、重大产业项目建设用地需求。</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lang w:eastAsia="zh-CN"/>
        </w:rPr>
        <w:t>开展基于城市国土空间监测详细规划用地分类研究项目建立统一的自治区国土空间详细规划用地分类标准体系，充分衔接已有分类及其管理作用的基础上，提出上下联系、逻辑分明的分类方式，形成既符合实际需要，又具有可操作性的城镇国土空间监测内容体系，支撑和指引详细规划编制和实施。</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sz w:val="32"/>
          <w:szCs w:val="32"/>
          <w:lang w:eastAsia="zh-CN"/>
        </w:rPr>
        <w:t>开展自治区矿产资源总体规划（2021-2025年）中期评估项目，客观评价布局安排、准入要求、规划目标、重点任务、政策措施等落实情况，总结总体布局、矿产资源调查评价与勘查、开发利用与保护、矿业绿色发展、市场化改革与管理、矿业开发合作等方面进展和成效，加快矿业发展方式转变。3.管理保护类：</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lang w:eastAsia="zh-CN"/>
        </w:rPr>
        <w:t>开展自治区自然资源综合执法监督检查技术支撑与服务、自治区耕地保护监督工作技术服务等自然资源管理保护类项目，建立自治区设施农业用地备案库，加强水田监测，特殊保护永久基本农田，牢牢守住耕地保护红线。</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lang w:eastAsia="zh-CN"/>
        </w:rPr>
        <w:t>对卫片执法“月清、季核”工作中发现的占耕地的问题图斑，逐级审核确认后及时补充纳入系统问题台账并开展整治试点工作，为年度自然资源执法检查工作生产业务数据提供及时准确的业务数据支撑服务，实现自然资源执法的数字化、网络化和空间可视化。</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sz w:val="32"/>
          <w:szCs w:val="32"/>
          <w:lang w:eastAsia="zh-CN"/>
        </w:rPr>
        <w:t>通过开展自治区矿产资源综合信息平台建设项目，建立集基础地理信息、卫星遥感影像、生态保护红线、国土空间规划、矿产资源规划、矿产资源布局、矿业权信息、地质灾害恢复治理等数据为基础，处理、查询、对比、套合、分析一体化的综合性平台。通过开展自治区矿业权人勘查开采信息公示实地核查项目，达到进一步加强管理部门对矿业权人履行法定义务和合理开发利用矿产资源的监管，有效促进矿产资源合理开发与高效利用。四是开展新疆丝路国土云建设项目（二期）、自然资源三维立体时空数据库建设试点等项目，形成“一云、两端、N应用”的工作体系，探索建设一套适用实用的自然资源三维立体时空数据库建设技术体系、方法、规范与技术平台，形成可推广应用的试点经验，推动自治区三维立体时空数据库落地实施。以上项目的实施，有效推动自治区生态文明建设，促进人与自然和谐共生，构建高效、和谐、持续的经济增长和社会发展方式。发现的问题及原因：因今年软著申报规则等发生变化，自治区矿产资源综合信息平台建设软件著作权目前处于审核中。下一步改进措施：积极跟进自治区矿产资源综合信息平台建设软件著作权的成果。具体附项目支出绩效自评表。</w:t>
      </w:r>
    </w:p>
    <w:p w14:paraId="44A57F2D">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十二、其他需说明的事项</w:t>
      </w:r>
    </w:p>
    <w:p w14:paraId="3892EC59">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本单位无其他需说明的事项。</w:t>
      </w:r>
    </w:p>
    <w:p w14:paraId="3643FF04">
      <w:pPr>
        <w:spacing w:after="0" w:line="560" w:lineRule="exact"/>
        <w:ind w:firstLine="640" w:firstLineChars="200"/>
        <w:jc w:val="both"/>
        <w:rPr>
          <w:rFonts w:ascii="仿宋_GB2312" w:eastAsia="仿宋_GB2312"/>
          <w:sz w:val="32"/>
          <w:szCs w:val="32"/>
          <w:lang w:eastAsia="zh-CN"/>
        </w:rPr>
      </w:pPr>
    </w:p>
    <w:p w14:paraId="0D580A3F">
      <w:pPr>
        <w:spacing w:line="560" w:lineRule="exact"/>
        <w:jc w:val="both"/>
        <w:rPr>
          <w:lang w:eastAsia="zh-CN"/>
        </w:rPr>
      </w:pPr>
      <w:r>
        <w:rPr>
          <w:sz w:val="0"/>
          <w:szCs w:val="0"/>
          <w:lang w:eastAsia="zh-CN"/>
        </w:rPr>
        <w:br w:type="page"/>
      </w:r>
    </w:p>
    <w:p w14:paraId="53C23182">
      <w:pPr>
        <w:spacing w:after="0" w:line="560" w:lineRule="exact"/>
        <w:jc w:val="center"/>
        <w:outlineLvl w:val="0"/>
        <w:rPr>
          <w:rFonts w:ascii="黑体" w:eastAsia="黑体"/>
          <w:sz w:val="32"/>
          <w:szCs w:val="32"/>
          <w:lang w:eastAsia="zh-CN"/>
        </w:rPr>
      </w:pPr>
      <w:r>
        <w:rPr>
          <w:rFonts w:ascii="黑体" w:eastAsia="黑体"/>
          <w:sz w:val="32"/>
          <w:szCs w:val="32"/>
          <w:lang w:eastAsia="zh-CN"/>
        </w:rPr>
        <w:t>第三部分 专业名词解释</w:t>
      </w:r>
    </w:p>
    <w:p w14:paraId="3D5A3FB2">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指单位本年度从同级财政部门取得的财政拨款，包括一般公共预算财政拨款、政府性基金预算财政拨款和国有资本经营预算财政拨款。</w:t>
      </w:r>
    </w:p>
    <w:p w14:paraId="0621D1F6">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A0630E0">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指事业单位开展专业业务活动及其辅助活动取得的收入。</w:t>
      </w:r>
    </w:p>
    <w:p w14:paraId="19B85659">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3237DE4">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指事业单位附属独立核算单位按照有关规定上缴的收入。</w:t>
      </w:r>
    </w:p>
    <w:p w14:paraId="5CFCB435">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指单位取得的除上述“财政拨款收入”“上级补助收入”“事业收入”“经营收入”“附属单位上缴收入”以外的各项收入。</w:t>
      </w:r>
    </w:p>
    <w:p w14:paraId="29C11B68">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指单位上年结转本年使用的基本支出结转、项目支出结转和结余、经营结余。</w:t>
      </w:r>
    </w:p>
    <w:p w14:paraId="0E93DDA0">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八、使用非财政拨款结余（含专用结余）：</w:t>
      </w:r>
      <w:r>
        <w:rPr>
          <w:rFonts w:ascii="仿宋_GB2312" w:eastAsia="仿宋_GB2312"/>
          <w:sz w:val="32"/>
          <w:szCs w:val="32"/>
          <w:lang w:eastAsia="zh-CN"/>
        </w:rPr>
        <w:t>指单位按照预算管理要求使用非财政拨款结余弥补收支差额的金额，以及使用专用结余安排支出的金额。</w:t>
      </w:r>
    </w:p>
    <w:p w14:paraId="5A9B5CFA">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九、结余分配</w:t>
      </w:r>
      <w:r>
        <w:rPr>
          <w:rFonts w:ascii="仿宋_GB2312" w:eastAsia="仿宋_GB2312"/>
          <w:sz w:val="32"/>
          <w:szCs w:val="32"/>
          <w:lang w:eastAsia="zh-CN"/>
        </w:rPr>
        <w:t>：指单位缴纳企业所得税以及从非财政拨款结余或经营结余中提取各类结余的情况。</w:t>
      </w:r>
    </w:p>
    <w:p w14:paraId="4F0304C0">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十、年末结转和结余</w:t>
      </w:r>
      <w:r>
        <w:rPr>
          <w:rFonts w:ascii="仿宋_GB2312" w:eastAsia="仿宋_GB2312"/>
          <w:sz w:val="32"/>
          <w:szCs w:val="32"/>
          <w:lang w:eastAsia="zh-CN"/>
        </w:rPr>
        <w:t>：指单位结转下年的基本支出结转、项目支出结转和结余、经营结余。</w:t>
      </w:r>
    </w:p>
    <w:p w14:paraId="28176177">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十一、基本支出</w:t>
      </w:r>
      <w:r>
        <w:rPr>
          <w:rFonts w:ascii="仿宋_GB2312" w:eastAsia="仿宋_GB2312"/>
          <w:sz w:val="32"/>
          <w:szCs w:val="32"/>
          <w:lang w:eastAsia="zh-CN"/>
        </w:rPr>
        <w:t>：指单位为保障机构正常运转、完成日常工作任务而发生的各项支出。</w:t>
      </w:r>
    </w:p>
    <w:p w14:paraId="4EA1B140">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十二、项目支出：</w:t>
      </w:r>
      <w:r>
        <w:rPr>
          <w:rFonts w:ascii="仿宋_GB2312" w:eastAsia="仿宋_GB2312"/>
          <w:sz w:val="32"/>
          <w:szCs w:val="32"/>
          <w:lang w:eastAsia="zh-CN"/>
        </w:rPr>
        <w:t>指单位为完成特定的行政工作任务或事业发展目标，在基本支出之外发生的各项支出。</w:t>
      </w:r>
    </w:p>
    <w:p w14:paraId="3F7DDEFC">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十三、上缴上级支出：</w:t>
      </w:r>
      <w:r>
        <w:rPr>
          <w:rFonts w:ascii="仿宋_GB2312" w:eastAsia="仿宋_GB2312"/>
          <w:sz w:val="32"/>
          <w:szCs w:val="32"/>
          <w:lang w:eastAsia="zh-CN"/>
        </w:rPr>
        <w:t>指事业单位按照财政部门和主管部门的规定上缴上级单位的支出。</w:t>
      </w:r>
    </w:p>
    <w:p w14:paraId="530E7823">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十四、经营支出：</w:t>
      </w:r>
      <w:r>
        <w:rPr>
          <w:rFonts w:ascii="仿宋_GB2312" w:eastAsia="仿宋_GB2312"/>
          <w:sz w:val="32"/>
          <w:szCs w:val="32"/>
          <w:lang w:eastAsia="zh-CN"/>
        </w:rPr>
        <w:t>指事业单位在专业活动及辅助活动之外开展非独立核算经营活动发生的支出。</w:t>
      </w:r>
    </w:p>
    <w:p w14:paraId="27314020">
      <w:pPr>
        <w:spacing w:after="0" w:line="560" w:lineRule="exact"/>
        <w:ind w:firstLine="643" w:firstLineChars="200"/>
        <w:jc w:val="both"/>
        <w:rPr>
          <w:rFonts w:ascii="宋体" w:eastAsia="仿宋_GB2312"/>
          <w:sz w:val="32"/>
          <w:szCs w:val="32"/>
          <w:lang w:eastAsia="zh-CN"/>
        </w:rPr>
      </w:pPr>
      <w:r>
        <w:rPr>
          <w:rFonts w:ascii="宋体" w:eastAsia="仿宋_GB2312"/>
          <w:b/>
          <w:sz w:val="32"/>
          <w:szCs w:val="32"/>
          <w:lang w:eastAsia="zh-CN"/>
        </w:rPr>
        <w:t>十五、对附属单位补助支出：</w:t>
      </w:r>
      <w:r>
        <w:rPr>
          <w:rFonts w:ascii="宋体" w:eastAsia="仿宋_GB2312"/>
          <w:sz w:val="32"/>
          <w:szCs w:val="32"/>
          <w:lang w:eastAsia="zh-CN"/>
        </w:rPr>
        <w:t>指事业单位用财政补助收入之外的收入对附属单位补助发生的支出。</w:t>
      </w:r>
    </w:p>
    <w:p w14:paraId="42262323">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十六、“三公”经费：</w:t>
      </w:r>
      <w:r>
        <w:rPr>
          <w:rFonts w:ascii="仿宋_GB2312" w:eastAsia="仿宋_GB2312"/>
          <w:sz w:val="32"/>
          <w:szCs w:val="32"/>
          <w:lang w:eastAsia="zh-CN"/>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9547E1F">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十七、机关运行经费：</w:t>
      </w:r>
      <w:r>
        <w:rPr>
          <w:rFonts w:ascii="仿宋_GB2312" w:eastAsia="仿宋_GB2312"/>
          <w:sz w:val="32"/>
          <w:szCs w:val="32"/>
          <w:lang w:eastAsia="zh-CN"/>
        </w:rPr>
        <w:t>指行政单位和参照公务员法管理的事业单位财政拨款基本支出中的公用经费支出。</w:t>
      </w:r>
    </w:p>
    <w:p w14:paraId="3CE8D084">
      <w:pPr>
        <w:spacing w:line="560" w:lineRule="exact"/>
        <w:jc w:val="both"/>
        <w:rPr>
          <w:lang w:eastAsia="zh-CN"/>
        </w:rPr>
      </w:pPr>
      <w:r>
        <w:rPr>
          <w:sz w:val="0"/>
          <w:szCs w:val="0"/>
          <w:lang w:eastAsia="zh-CN"/>
        </w:rPr>
        <w:br w:type="page"/>
      </w:r>
    </w:p>
    <w:p w14:paraId="692FCDEE">
      <w:pPr>
        <w:spacing w:after="0" w:line="560" w:lineRule="exact"/>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4853E1AE">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8457D37">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二、《收入决算表》</w:t>
      </w:r>
    </w:p>
    <w:p w14:paraId="181BCF74">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三、《支出决算表》</w:t>
      </w:r>
    </w:p>
    <w:p w14:paraId="7F025DA5">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239A279">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8415E5C">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A25FCCE">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B7633A8">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8AF4EC5">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2098" w:right="1531" w:bottom="1984" w:left="1531"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259E76-17AA-460F-8D1B-C43B92FC67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74C65A1E-72D9-4163-8434-8419E3C5535D}"/>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auto"/>
    <w:pitch w:val="default"/>
    <w:sig w:usb0="A00002BF" w:usb1="38CF7CFA" w:usb2="00082016" w:usb3="00000000" w:csb0="00040001" w:csb1="00000000"/>
    <w:embedRegular r:id="rId3" w:fontKey="{F0728F40-FD7C-47D7-B5E5-5E2CA2D7A019}"/>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
  <w:docVars>
    <w:docVar w:name="commondata" w:val="eyJoZGlkIjoiY2Q4YzlkYzdmMzdiYmQwY2EwY2E2MmIxMmJhNTdmNzMifQ=="/>
  </w:docVars>
  <w:rsids>
    <w:rsidRoot w:val="00AC4CE3"/>
    <w:rsid w:val="000F776D"/>
    <w:rsid w:val="004E16DC"/>
    <w:rsid w:val="00AC4CE3"/>
    <w:rsid w:val="03A65C8A"/>
    <w:rsid w:val="08A22294"/>
    <w:rsid w:val="095163DB"/>
    <w:rsid w:val="0C727688"/>
    <w:rsid w:val="103E381B"/>
    <w:rsid w:val="163019E5"/>
    <w:rsid w:val="1788143F"/>
    <w:rsid w:val="17E94CA2"/>
    <w:rsid w:val="1AD804B9"/>
    <w:rsid w:val="1BC63ECE"/>
    <w:rsid w:val="1C5446B4"/>
    <w:rsid w:val="1EE90B68"/>
    <w:rsid w:val="20BB11A5"/>
    <w:rsid w:val="21DA2518"/>
    <w:rsid w:val="234A27A9"/>
    <w:rsid w:val="26BB127C"/>
    <w:rsid w:val="2C1574B5"/>
    <w:rsid w:val="307A24E3"/>
    <w:rsid w:val="33246036"/>
    <w:rsid w:val="33614021"/>
    <w:rsid w:val="34692F9B"/>
    <w:rsid w:val="3555351F"/>
    <w:rsid w:val="35F73632"/>
    <w:rsid w:val="36596914"/>
    <w:rsid w:val="3AD66F49"/>
    <w:rsid w:val="3BCA4233"/>
    <w:rsid w:val="3EB50780"/>
    <w:rsid w:val="3EEB2976"/>
    <w:rsid w:val="42036D88"/>
    <w:rsid w:val="429446B5"/>
    <w:rsid w:val="42D40179"/>
    <w:rsid w:val="43470AA6"/>
    <w:rsid w:val="454B60C2"/>
    <w:rsid w:val="47B801B5"/>
    <w:rsid w:val="480418C7"/>
    <w:rsid w:val="48553943"/>
    <w:rsid w:val="48D43A0A"/>
    <w:rsid w:val="4F144A53"/>
    <w:rsid w:val="517D6662"/>
    <w:rsid w:val="5465467B"/>
    <w:rsid w:val="55903BAD"/>
    <w:rsid w:val="579334BA"/>
    <w:rsid w:val="59510799"/>
    <w:rsid w:val="5A0D0E64"/>
    <w:rsid w:val="5B27347C"/>
    <w:rsid w:val="5B6065F6"/>
    <w:rsid w:val="5C602B17"/>
    <w:rsid w:val="5D0F41AD"/>
    <w:rsid w:val="608205CF"/>
    <w:rsid w:val="61BB798B"/>
    <w:rsid w:val="627C183B"/>
    <w:rsid w:val="62B675A5"/>
    <w:rsid w:val="63881DF8"/>
    <w:rsid w:val="64EF4547"/>
    <w:rsid w:val="66FD158E"/>
    <w:rsid w:val="688913DF"/>
    <w:rsid w:val="68C61A62"/>
    <w:rsid w:val="69B35656"/>
    <w:rsid w:val="6A412970"/>
    <w:rsid w:val="6DD03544"/>
    <w:rsid w:val="704760C2"/>
    <w:rsid w:val="741507C0"/>
    <w:rsid w:val="76C00D90"/>
    <w:rsid w:val="770D5C8D"/>
    <w:rsid w:val="78490034"/>
    <w:rsid w:val="78777631"/>
    <w:rsid w:val="78CC7296"/>
    <w:rsid w:val="7A6E3492"/>
    <w:rsid w:val="7B193C74"/>
    <w:rsid w:val="7B1E0BE4"/>
    <w:rsid w:val="7EF154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1"/>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2"/>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3"/>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4"/>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toc 3"/>
    <w:basedOn w:val="1"/>
    <w:next w:val="1"/>
    <w:qFormat/>
    <w:uiPriority w:val="0"/>
    <w:pPr>
      <w:ind w:left="840" w:leftChars="400"/>
    </w:pPr>
  </w:style>
  <w:style w:type="paragraph" w:styleId="9">
    <w:name w:val="footer"/>
    <w:basedOn w:val="1"/>
    <w:link w:val="27"/>
    <w:unhideWhenUsed/>
    <w:qFormat/>
    <w:uiPriority w:val="99"/>
    <w:pPr>
      <w:tabs>
        <w:tab w:val="center" w:pos="4153"/>
        <w:tab w:val="right" w:pos="8306"/>
      </w:tabs>
      <w:snapToGrid w:val="0"/>
      <w:spacing w:line="240" w:lineRule="auto"/>
    </w:pPr>
    <w:rPr>
      <w:sz w:val="18"/>
      <w:szCs w:val="18"/>
    </w:rPr>
  </w:style>
  <w:style w:type="paragraph" w:styleId="10">
    <w:name w:val="header"/>
    <w:basedOn w:val="1"/>
    <w:link w:val="20"/>
    <w:unhideWhenUsed/>
    <w:qFormat/>
    <w:uiPriority w:val="99"/>
    <w:pPr>
      <w:tabs>
        <w:tab w:val="center" w:pos="4680"/>
        <w:tab w:val="right" w:pos="9360"/>
      </w:tabs>
    </w:pPr>
  </w:style>
  <w:style w:type="paragraph" w:styleId="11">
    <w:name w:val="toc 1"/>
    <w:basedOn w:val="1"/>
    <w:next w:val="1"/>
    <w:qFormat/>
    <w:uiPriority w:val="0"/>
  </w:style>
  <w:style w:type="paragraph" w:styleId="12">
    <w:name w:val="Subtitle"/>
    <w:basedOn w:val="1"/>
    <w:next w:val="1"/>
    <w:link w:val="25"/>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3">
    <w:name w:val="toc 2"/>
    <w:basedOn w:val="1"/>
    <w:next w:val="1"/>
    <w:qFormat/>
    <w:uiPriority w:val="0"/>
    <w:pPr>
      <w:ind w:left="420" w:leftChars="200"/>
    </w:pPr>
  </w:style>
  <w:style w:type="paragraph" w:styleId="14">
    <w:name w:val="Title"/>
    <w:basedOn w:val="1"/>
    <w:next w:val="1"/>
    <w:link w:val="26"/>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6">
    <w:name w:val="Table Grid"/>
    <w:basedOn w:val="15"/>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8">
    <w:name w:val="Emphasis"/>
    <w:basedOn w:val="17"/>
    <w:qFormat/>
    <w:uiPriority w:val="20"/>
    <w:rPr>
      <w:i/>
      <w:iCs/>
    </w:rPr>
  </w:style>
  <w:style w:type="character" w:styleId="19">
    <w:name w:val="Hyperlink"/>
    <w:basedOn w:val="17"/>
    <w:unhideWhenUsed/>
    <w:qFormat/>
    <w:uiPriority w:val="99"/>
    <w:rPr>
      <w:color w:val="0000FF" w:themeColor="hyperlink"/>
      <w:u w:val="single"/>
    </w:rPr>
  </w:style>
  <w:style w:type="character" w:customStyle="1" w:styleId="20">
    <w:name w:val="页眉 Char"/>
    <w:basedOn w:val="17"/>
    <w:link w:val="10"/>
    <w:qFormat/>
    <w:uiPriority w:val="99"/>
  </w:style>
  <w:style w:type="character" w:customStyle="1" w:styleId="21">
    <w:name w:val="标题 1 Char"/>
    <w:basedOn w:val="17"/>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2">
    <w:name w:val="标题 2 Char"/>
    <w:basedOn w:val="17"/>
    <w:link w:val="3"/>
    <w:qFormat/>
    <w:uiPriority w:val="9"/>
    <w:rPr>
      <w:rFonts w:asciiTheme="majorHAnsi" w:hAnsiTheme="majorHAnsi" w:eastAsiaTheme="majorEastAsia" w:cstheme="majorBidi"/>
      <w:b/>
      <w:bCs/>
      <w:color w:val="4F81BD" w:themeColor="accent1"/>
      <w:sz w:val="26"/>
      <w:szCs w:val="26"/>
    </w:rPr>
  </w:style>
  <w:style w:type="character" w:customStyle="1" w:styleId="23">
    <w:name w:val="标题 3 Char"/>
    <w:basedOn w:val="17"/>
    <w:link w:val="4"/>
    <w:qFormat/>
    <w:uiPriority w:val="9"/>
    <w:rPr>
      <w:rFonts w:asciiTheme="majorHAnsi" w:hAnsiTheme="majorHAnsi" w:eastAsiaTheme="majorEastAsia" w:cstheme="majorBidi"/>
      <w:b/>
      <w:bCs/>
      <w:color w:val="4F81BD" w:themeColor="accent1"/>
    </w:rPr>
  </w:style>
  <w:style w:type="character" w:customStyle="1" w:styleId="24">
    <w:name w:val="标题 4 Char"/>
    <w:basedOn w:val="17"/>
    <w:link w:val="5"/>
    <w:qFormat/>
    <w:uiPriority w:val="9"/>
    <w:rPr>
      <w:rFonts w:asciiTheme="majorHAnsi" w:hAnsiTheme="majorHAnsi" w:eastAsiaTheme="majorEastAsia" w:cstheme="majorBidi"/>
      <w:b/>
      <w:bCs/>
      <w:i/>
      <w:iCs/>
      <w:color w:val="4F81BD" w:themeColor="accent1"/>
    </w:rPr>
  </w:style>
  <w:style w:type="character" w:customStyle="1" w:styleId="25">
    <w:name w:val="副标题 Char"/>
    <w:basedOn w:val="17"/>
    <w:link w:val="12"/>
    <w:qFormat/>
    <w:uiPriority w:val="11"/>
    <w:rPr>
      <w:rFonts w:asciiTheme="majorHAnsi" w:hAnsiTheme="majorHAnsi" w:eastAsiaTheme="majorEastAsia" w:cstheme="majorBidi"/>
      <w:i/>
      <w:iCs/>
      <w:color w:val="4F81BD" w:themeColor="accent1"/>
      <w:spacing w:val="15"/>
      <w:sz w:val="24"/>
      <w:szCs w:val="24"/>
    </w:rPr>
  </w:style>
  <w:style w:type="character" w:customStyle="1" w:styleId="26">
    <w:name w:val="标题 Char"/>
    <w:basedOn w:val="17"/>
    <w:link w:val="14"/>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7">
    <w:name w:val="页脚 Char"/>
    <w:basedOn w:val="17"/>
    <w:link w:val="9"/>
    <w:qFormat/>
    <w:uiPriority w:val="99"/>
    <w:rPr>
      <w:rFonts w:asciiTheme="minorHAnsi" w:hAnsiTheme="minorHAnsi" w:eastAsiaTheme="minorHAnsi" w:cstheme="minorBid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23</Pages>
  <Words>8124</Words>
  <Characters>9032</Characters>
  <Lines>65</Lines>
  <Paragraphs>18</Paragraphs>
  <TotalTime>1</TotalTime>
  <ScaleCrop>false</ScaleCrop>
  <LinksUpToDate>false</LinksUpToDate>
  <CharactersWithSpaces>9044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2026-08-12T02:42:00Z</dcterms:created>
  <dc:creator>Lenovo</dc:creator>
  <cp:lastModifiedBy>蹁跹</cp:lastModifiedBy>
  <dcterms:modified xsi:type="dcterms:W3CDTF">2026-08-21T08:32:54Z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2D03DBED3F094E82BF112E88452B7177</vt:lpwstr>
  </property>
  <property fmtid="{D5CDD505-2E9C-101B-9397-08002B2CF9AE}" pid="4" name="KSOTemplateDocerSaveRecord">
    <vt:lpwstr>eyJoZGlkIjoiNTBiYjFiYzY0OWM2ODlhYjA1NDAwODJkOGMwZGNkYTMiLCJ1c2VySWQiOiIxMTU3MzgyOTA5In0=</vt:lpwstr>
  </property>
</Properties>
</file>