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3F6" w:rsidRDefault="00DA4DA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3B33F6" w:rsidRDefault="003B33F6">
      <w:pPr>
        <w:spacing w:line="540" w:lineRule="exact"/>
        <w:jc w:val="center"/>
        <w:rPr>
          <w:rFonts w:ascii="华文中宋" w:eastAsia="华文中宋" w:hAnsi="华文中宋" w:cs="宋体"/>
          <w:b/>
          <w:kern w:val="0"/>
          <w:sz w:val="52"/>
          <w:szCs w:val="52"/>
        </w:rPr>
      </w:pPr>
    </w:p>
    <w:p w:rsidR="003B33F6" w:rsidRDefault="003B33F6">
      <w:pPr>
        <w:spacing w:line="540" w:lineRule="exact"/>
        <w:jc w:val="center"/>
        <w:rPr>
          <w:rFonts w:ascii="华文中宋" w:eastAsia="华文中宋" w:hAnsi="华文中宋" w:cs="宋体"/>
          <w:b/>
          <w:kern w:val="0"/>
          <w:sz w:val="52"/>
          <w:szCs w:val="52"/>
        </w:rPr>
      </w:pPr>
    </w:p>
    <w:p w:rsidR="003B33F6" w:rsidRDefault="003B33F6">
      <w:pPr>
        <w:spacing w:line="540" w:lineRule="exact"/>
        <w:jc w:val="center"/>
        <w:rPr>
          <w:rFonts w:ascii="华文中宋" w:eastAsia="华文中宋" w:hAnsi="华文中宋" w:cs="宋体"/>
          <w:b/>
          <w:kern w:val="0"/>
          <w:sz w:val="52"/>
          <w:szCs w:val="52"/>
        </w:rPr>
      </w:pPr>
    </w:p>
    <w:p w:rsidR="003B33F6" w:rsidRDefault="003B33F6">
      <w:pPr>
        <w:spacing w:line="540" w:lineRule="exact"/>
        <w:jc w:val="center"/>
        <w:rPr>
          <w:rFonts w:ascii="华文中宋" w:eastAsia="华文中宋" w:hAnsi="华文中宋" w:cs="宋体"/>
          <w:b/>
          <w:kern w:val="0"/>
          <w:sz w:val="52"/>
          <w:szCs w:val="52"/>
        </w:rPr>
      </w:pPr>
    </w:p>
    <w:p w:rsidR="003B33F6" w:rsidRDefault="003B33F6">
      <w:pPr>
        <w:spacing w:line="540" w:lineRule="exact"/>
        <w:jc w:val="center"/>
        <w:rPr>
          <w:rFonts w:ascii="华文中宋" w:eastAsia="华文中宋" w:hAnsi="华文中宋" w:cs="宋体"/>
          <w:b/>
          <w:kern w:val="0"/>
          <w:sz w:val="52"/>
          <w:szCs w:val="52"/>
        </w:rPr>
      </w:pPr>
    </w:p>
    <w:p w:rsidR="003B33F6" w:rsidRDefault="003B33F6">
      <w:pPr>
        <w:spacing w:line="540" w:lineRule="exact"/>
        <w:jc w:val="center"/>
        <w:rPr>
          <w:rFonts w:ascii="华文中宋" w:eastAsia="华文中宋" w:hAnsi="华文中宋" w:cs="宋体"/>
          <w:b/>
          <w:kern w:val="0"/>
          <w:sz w:val="52"/>
          <w:szCs w:val="52"/>
        </w:rPr>
      </w:pPr>
    </w:p>
    <w:p w:rsidR="003B33F6" w:rsidRDefault="00DA4DA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3B33F6" w:rsidRDefault="003B33F6">
      <w:pPr>
        <w:spacing w:line="540" w:lineRule="exact"/>
        <w:jc w:val="center"/>
        <w:rPr>
          <w:rFonts w:ascii="华文中宋" w:eastAsia="华文中宋" w:hAnsi="华文中宋" w:cs="宋体"/>
          <w:b/>
          <w:kern w:val="0"/>
          <w:sz w:val="52"/>
          <w:szCs w:val="52"/>
        </w:rPr>
      </w:pPr>
    </w:p>
    <w:p w:rsidR="003B33F6" w:rsidRDefault="00DA4DA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3B33F6" w:rsidRDefault="003B33F6">
      <w:pPr>
        <w:spacing w:line="540" w:lineRule="exact"/>
        <w:jc w:val="center"/>
        <w:rPr>
          <w:rFonts w:eastAsia="仿宋_GB2312" w:hAnsi="宋体" w:cs="宋体"/>
          <w:kern w:val="0"/>
          <w:sz w:val="30"/>
          <w:szCs w:val="30"/>
        </w:rPr>
      </w:pPr>
    </w:p>
    <w:p w:rsidR="003B33F6" w:rsidRDefault="003B33F6">
      <w:pPr>
        <w:spacing w:line="540" w:lineRule="exact"/>
        <w:jc w:val="center"/>
        <w:rPr>
          <w:rFonts w:eastAsia="仿宋_GB2312" w:hAnsi="宋体" w:cs="宋体"/>
          <w:kern w:val="0"/>
          <w:sz w:val="30"/>
          <w:szCs w:val="30"/>
        </w:rPr>
      </w:pPr>
    </w:p>
    <w:p w:rsidR="003B33F6" w:rsidRDefault="003B33F6">
      <w:pPr>
        <w:spacing w:line="540" w:lineRule="exact"/>
        <w:jc w:val="center"/>
        <w:rPr>
          <w:rFonts w:ascii="方正小标宋_GBK" w:eastAsia="方正小标宋_GBK" w:hAnsi="宋体" w:cs="宋体" w:hint="eastAsia"/>
          <w:kern w:val="0"/>
          <w:sz w:val="36"/>
          <w:szCs w:val="36"/>
        </w:rPr>
      </w:pPr>
    </w:p>
    <w:p w:rsidR="00772CCC" w:rsidRDefault="00772CCC">
      <w:pPr>
        <w:spacing w:line="540" w:lineRule="exact"/>
        <w:jc w:val="center"/>
        <w:rPr>
          <w:rFonts w:eastAsia="仿宋_GB2312" w:hAnsi="宋体" w:cs="宋体"/>
          <w:kern w:val="0"/>
          <w:sz w:val="30"/>
          <w:szCs w:val="30"/>
        </w:rPr>
      </w:pPr>
      <w:bookmarkStart w:id="0" w:name="_GoBack"/>
      <w:bookmarkEnd w:id="0"/>
    </w:p>
    <w:p w:rsidR="003B33F6" w:rsidRDefault="003B33F6">
      <w:pPr>
        <w:spacing w:line="540" w:lineRule="exact"/>
        <w:jc w:val="center"/>
        <w:rPr>
          <w:rFonts w:eastAsia="仿宋_GB2312" w:hAnsi="宋体" w:cs="宋体"/>
          <w:kern w:val="0"/>
          <w:sz w:val="30"/>
          <w:szCs w:val="30"/>
        </w:rPr>
      </w:pPr>
    </w:p>
    <w:p w:rsidR="003B33F6" w:rsidRDefault="003B33F6">
      <w:pPr>
        <w:spacing w:line="540" w:lineRule="exact"/>
        <w:jc w:val="center"/>
        <w:rPr>
          <w:rFonts w:eastAsia="仿宋_GB2312" w:hAnsi="宋体" w:cs="宋体"/>
          <w:kern w:val="0"/>
          <w:sz w:val="30"/>
          <w:szCs w:val="30"/>
        </w:rPr>
      </w:pPr>
    </w:p>
    <w:p w:rsidR="003B33F6" w:rsidRDefault="003B33F6">
      <w:pPr>
        <w:spacing w:line="540" w:lineRule="exact"/>
        <w:rPr>
          <w:rFonts w:eastAsia="仿宋_GB2312" w:hAnsi="宋体" w:cs="宋体"/>
          <w:kern w:val="0"/>
          <w:sz w:val="30"/>
          <w:szCs w:val="30"/>
        </w:rPr>
      </w:pPr>
    </w:p>
    <w:p w:rsidR="003B33F6" w:rsidRDefault="00DA4DA2">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3B33F6" w:rsidRDefault="00DA4DA2">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新疆地质遗迹调查与评价（古生物化石资源保护与应用示范）</w:t>
      </w:r>
    </w:p>
    <w:p w:rsidR="003B33F6" w:rsidRDefault="00DA4DA2">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新疆维吾尔自治区地质环境监测院</w:t>
      </w:r>
    </w:p>
    <w:p w:rsidR="003B33F6" w:rsidRDefault="00DA4DA2">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新疆维吾尔自治区地质环境监测院</w:t>
      </w:r>
    </w:p>
    <w:p w:rsidR="003B33F6" w:rsidRDefault="00DA4DA2">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梁世川</w:t>
      </w:r>
    </w:p>
    <w:p w:rsidR="003B33F6" w:rsidRDefault="00DA4DA2">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06</w:t>
      </w:r>
      <w:r>
        <w:rPr>
          <w:rStyle w:val="a8"/>
          <w:rFonts w:ascii="楷体" w:eastAsia="楷体" w:hAnsi="楷体" w:hint="eastAsia"/>
          <w:spacing w:val="-4"/>
          <w:sz w:val="32"/>
          <w:szCs w:val="32"/>
        </w:rPr>
        <w:t>日</w:t>
      </w:r>
    </w:p>
    <w:p w:rsidR="003B33F6" w:rsidRDefault="003B33F6">
      <w:pPr>
        <w:spacing w:line="700" w:lineRule="exact"/>
        <w:ind w:firstLineChars="236" w:firstLine="708"/>
        <w:jc w:val="left"/>
        <w:rPr>
          <w:rFonts w:eastAsia="仿宋_GB2312" w:hAnsi="宋体" w:cs="宋体"/>
          <w:kern w:val="0"/>
          <w:sz w:val="30"/>
          <w:szCs w:val="30"/>
        </w:rPr>
      </w:pPr>
    </w:p>
    <w:p w:rsidR="003B33F6" w:rsidRDefault="003B33F6">
      <w:pPr>
        <w:spacing w:line="540" w:lineRule="exact"/>
        <w:rPr>
          <w:rStyle w:val="a8"/>
          <w:rFonts w:ascii="黑体" w:eastAsia="黑体" w:hAnsi="黑体"/>
          <w:b w:val="0"/>
          <w:spacing w:val="-4"/>
          <w:sz w:val="32"/>
          <w:szCs w:val="32"/>
        </w:rPr>
      </w:pPr>
    </w:p>
    <w:p w:rsidR="003B33F6" w:rsidRDefault="00DA4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为更好地推动我区古生物化石保护事业发展，落实《自治区古生物化石保护规划（</w:t>
      </w:r>
      <w:r>
        <w:rPr>
          <w:rStyle w:val="a8"/>
          <w:rFonts w:ascii="楷体" w:eastAsia="楷体" w:hAnsi="楷体" w:hint="eastAsia"/>
          <w:spacing w:val="-4"/>
          <w:sz w:val="32"/>
          <w:szCs w:val="32"/>
        </w:rPr>
        <w:t>2024-2035</w:t>
      </w:r>
      <w:r>
        <w:rPr>
          <w:rStyle w:val="a8"/>
          <w:rFonts w:ascii="楷体" w:eastAsia="楷体" w:hAnsi="楷体" w:hint="eastAsia"/>
          <w:spacing w:val="-4"/>
          <w:sz w:val="32"/>
          <w:szCs w:val="32"/>
        </w:rPr>
        <w:t>年）》的总体策划和全面部署，循序推进自治区古生物化石保护工作，一是贯彻落实《古生物化石保护条例实施办法》“建立和管理本行政区域的重点保护古生物化石档案和数据库”“组织开展本行政区域内古生物化石保护的科学研究、宣传教育和管理业务培训”等职责；二是加强古生物精细化调查与评价工作，为新疆古生物化石保护的常态化管理提供翔实数据资料支撑（选取我区重要化石产地开展示范调查及相关化石标本收集，补充和完善新疆重点保护古生物化石数据库，</w:t>
      </w:r>
      <w:r>
        <w:rPr>
          <w:rStyle w:val="a8"/>
          <w:rFonts w:ascii="楷体" w:eastAsia="楷体" w:hAnsi="楷体" w:hint="eastAsia"/>
          <w:spacing w:val="-4"/>
          <w:sz w:val="32"/>
          <w:szCs w:val="32"/>
        </w:rPr>
        <w:t>实时掌握新疆古生物化石、产地及古生物类项目等相关信息）。</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对新疆维吾尔自治区乌鲁木齐市—昌吉回族自治州古生物化石资源进行全面系统的调查和评价，提出古生物化石保护建议，为相关政府部门保护古生物化石工作提供科学依据，有效促进新疆古生物化石科研、科普以及资源开发等相关工作的高质量推进。</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①开展新疆乌鲁木齐市—昌吉回族自治州古生物化石产地调查评价工作，查明调查区内重要古生物化石产地分布现状、保存现状、保护现状、化石赋存情况及基础地质特征，绘制重点古生物化石产地实测剖面图及</w:t>
      </w:r>
      <w:r>
        <w:rPr>
          <w:rStyle w:val="a8"/>
          <w:rFonts w:ascii="楷体" w:eastAsia="楷体" w:hAnsi="楷体" w:hint="eastAsia"/>
          <w:spacing w:val="-4"/>
          <w:sz w:val="32"/>
          <w:szCs w:val="32"/>
        </w:rPr>
        <w:t>对应地层柱状图，开展调查区古生物化石评价。</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②编制新疆乌鲁木齐市—昌吉回族自治州古生物化石产地分布图，全面展示调查区古生物化石产地调查成果。</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编制新疆乌鲁木齐市—昌吉回族自治州古生物化石产地科普图集，制作科普短视频，以多种形式介绍产地相关信息及赋存特色化石，以科普故事的形式阐述其科学价值，为推动古生物科学普及工作做出积极贡献。</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④开展新疆古生物化石收藏机构标本登记与入库工作，查清调查区内馆藏古生物化石标本时代、类别、产地、来源、品相、保护条件等特征信息，补充和完善新疆重点保护古生物化石标本数据库。</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月，项目已经完成实际设立的目标，项目在实施过程中严格按照目标设立的各阶段任务开展工作，在前期立项过程中严格把质量关，建立安全防护机制，保证项目实施各阶段安全顺利进行。</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年项目投资</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万元，其中：财政本级资金</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万元。项目实际支出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万元，支出率为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该项目由新疆维吾尔自治区地质环境监测研究院单位实施，内设</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个科室，分别是：办公室（人事科）、财务室、总工程师办</w:t>
      </w:r>
      <w:r>
        <w:rPr>
          <w:rStyle w:val="a8"/>
          <w:rFonts w:ascii="楷体" w:eastAsia="楷体" w:hAnsi="楷体" w:hint="eastAsia"/>
          <w:spacing w:val="-4"/>
          <w:sz w:val="32"/>
          <w:szCs w:val="32"/>
        </w:rPr>
        <w:lastRenderedPageBreak/>
        <w:t>公室、地质灾害综合研究室、地质</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灾害监测预警室、水资源调查监测研究室、地质环境调查评价研究</w:t>
      </w:r>
      <w:r>
        <w:rPr>
          <w:rStyle w:val="a8"/>
          <w:rFonts w:ascii="楷体" w:eastAsia="楷体" w:hAnsi="楷体" w:hint="eastAsia"/>
          <w:spacing w:val="-4"/>
          <w:sz w:val="32"/>
          <w:szCs w:val="32"/>
        </w:rPr>
        <w:t>室、地质环境数据应用室。主要职能是（一）开展自治区地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质灾害防治规划与年度防治方案研究编制和实施评估工作；（二）开展自治区地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质灾害防治重大问题调查研究，并提出对策建议；（三）承担地质灾害、水文地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质、水资源、城市地质、古生物化石、矿山地质环境等调查评价、监测和综合</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研究；（四）指导自治区重要地质灾害应急调查、监测预警、应急会商并提供决</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策支持；（五）负责自治区地质环境信息管理系统建设、管理、使用和维护；（六）</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承担自治区地质灾害防治、矿山生态修复等工作技术指导和支撑服务；（七）开</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展地质灾害防治、地下水监</w:t>
      </w:r>
      <w:r>
        <w:rPr>
          <w:rStyle w:val="a8"/>
          <w:rFonts w:ascii="楷体" w:eastAsia="楷体" w:hAnsi="楷体" w:hint="eastAsia"/>
          <w:spacing w:val="-4"/>
          <w:sz w:val="32"/>
          <w:szCs w:val="32"/>
        </w:rPr>
        <w:t>测、矿山生态修复领域技术研发与推广应用、科技</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创新平台建设、标准规范制定、人才培养、对外合作交流、科普宣传等工作；（八）</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承担自治区自然资源厅交办的其他工作。</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《关于批复自治区本级</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年部门预算的通知》（新财预〔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号）文，本年度安排下达资金</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万元，为自治区资金，最终确定项目资金总数为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万元。其中：中央财政拨款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万元，自治区财政拨款</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万元，本级财政拨款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万元，上年结余</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日，新疆地质遗迹国情调查与评价（古生物化石调查与评价）项目，实际支出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。主要用于新疆地质遗迹国情调查与评价（古生物化石调查与评价）项目实施。</w:t>
      </w:r>
    </w:p>
    <w:p w:rsidR="003B33F6" w:rsidRDefault="00DA4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（二）项目绩效目标。包括总体目标和阶段性目标。</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开展重要古生物化石资源调查及重要古生物化石产地示范调查，优选与矿产资源关系密切的化石产区，开展古生物化石科学研究工作。统筹全疆古生物化石数据库建设，拓展科普平台，宣传新疆特色的古生物产地和化石标本，支撑我区古生物化石资源保护和利用示范展示区建设。</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w:t>
      </w:r>
      <w:r>
        <w:rPr>
          <w:rStyle w:val="a8"/>
          <w:rFonts w:ascii="楷体" w:eastAsia="楷体" w:hAnsi="楷体" w:hint="eastAsia"/>
          <w:spacing w:val="-4"/>
          <w:sz w:val="32"/>
          <w:szCs w:val="32"/>
        </w:rPr>
        <w:t>《预算法》、《财政支出绩效评价管理暂行办法》（财预〔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号）的规定，结合项目实施单位的规章制度以及财务相关资料，评价小组对项目绩效目标进行了进一步的完善，完善后绩效目标如下：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）项目产出目标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“全疆古生物化石数据集数量”指标，预期指标值为大于等于</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“化石产地调查数量”指标，预期指标值为大于等于</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“组织开展交流研讨次数”指标，预期指标值为大于等于</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“成果报告审查合格率”指标，预期指标值为大于等于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“野外调查完成时间”指标，预期指标值为大于等于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8</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“成果报告完成时间”指标，预期指标值为大于等于</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）项目效益指标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①经济效益指标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无此类指标。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“编制成果报告”指标，预期指标值为大于等于</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份；</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③生态效益指标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无此</w:t>
      </w:r>
      <w:r>
        <w:rPr>
          <w:rStyle w:val="a8"/>
          <w:rFonts w:ascii="楷体" w:eastAsia="楷体" w:hAnsi="楷体" w:hint="eastAsia"/>
          <w:spacing w:val="-4"/>
          <w:sz w:val="32"/>
          <w:szCs w:val="32"/>
        </w:rPr>
        <w:t>类指标。</w:t>
      </w:r>
    </w:p>
    <w:p w:rsidR="003B33F6" w:rsidRDefault="00DA4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3B33F6" w:rsidRDefault="00DA4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）项目在实施前向项目负责人提供财政支出绩效方面的资金管理信息，促进项目支出严格按照资金管理规定进行。</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）项目绩效管理</w:t>
      </w:r>
      <w:r>
        <w:rPr>
          <w:rStyle w:val="a8"/>
          <w:rFonts w:ascii="楷体" w:eastAsia="楷体" w:hAnsi="楷体" w:hint="eastAsia"/>
          <w:spacing w:val="-4"/>
          <w:sz w:val="32"/>
          <w:szCs w:val="32"/>
        </w:rPr>
        <w:t>财政支出运行提供及时、有效的信息。</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综合来看，通过开展有效的财政支出绩效评价管理，达到改进预算管理、控制节约成本，提高预算资金使用效益的目的。</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本次绩效评价严格遵循财政部《项目支出绩效评价管理办法》（财预〔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10 </w:t>
      </w:r>
      <w:r>
        <w:rPr>
          <w:rStyle w:val="a8"/>
          <w:rFonts w:ascii="楷体" w:eastAsia="楷体" w:hAnsi="楷体" w:hint="eastAsia"/>
          <w:spacing w:val="-4"/>
          <w:sz w:val="32"/>
          <w:szCs w:val="32"/>
        </w:rPr>
        <w:t>号）、自治区财政厅《自治区财政支出绩效评价管理暂行办法》（新财预〔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 xml:space="preserve">189 </w:t>
      </w:r>
      <w:r>
        <w:rPr>
          <w:rStyle w:val="a8"/>
          <w:rFonts w:ascii="楷体" w:eastAsia="楷体" w:hAnsi="楷体" w:hint="eastAsia"/>
          <w:spacing w:val="-4"/>
          <w:sz w:val="32"/>
          <w:szCs w:val="32"/>
        </w:rPr>
        <w:t>号）等相关政策文件规定，评价对象为新疆维吾尔自治区地质环境监测研究院</w:t>
      </w:r>
      <w:r>
        <w:rPr>
          <w:rStyle w:val="a8"/>
          <w:rFonts w:ascii="楷体" w:eastAsia="楷体" w:hAnsi="楷体" w:hint="eastAsia"/>
          <w:spacing w:val="-4"/>
          <w:sz w:val="32"/>
          <w:szCs w:val="32"/>
        </w:rPr>
        <w:t xml:space="preserve">2025 </w:t>
      </w:r>
      <w:r>
        <w:rPr>
          <w:rStyle w:val="a8"/>
          <w:rFonts w:ascii="楷体" w:eastAsia="楷体" w:hAnsi="楷体" w:hint="eastAsia"/>
          <w:spacing w:val="-4"/>
          <w:sz w:val="32"/>
          <w:szCs w:val="32"/>
        </w:rPr>
        <w:t>年度实施的新疆地质遗迹国情调查与评价（古生物化石调查与评价）项目</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，涵盖项目全部预算资金及执行过程；以项目实施</w:t>
      </w:r>
      <w:r>
        <w:rPr>
          <w:rStyle w:val="a8"/>
          <w:rFonts w:ascii="楷体" w:eastAsia="楷体" w:hAnsi="楷体" w:hint="eastAsia"/>
          <w:spacing w:val="-4"/>
          <w:sz w:val="32"/>
          <w:szCs w:val="32"/>
        </w:rPr>
        <w:t>形成的产出与效果为核心评价内容，围绕推动预算单位实现既定工作任务目标组织开展。</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从项目决策（包括绩效目标、决策过程）、项目管理（包括项目资金、项目实施）、项目产出（包括项目产出数量、产出质量、产出时效）和项目效益四个维度对新疆地质遗迹国情调查与评价（古生物化石调查与评价）项目进行评价，评价核心为专项资金的支出完成情况和效果。</w:t>
      </w:r>
    </w:p>
    <w:p w:rsidR="003B33F6" w:rsidRDefault="00DA4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本次项目绩效评价遵循以下基本原则：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）科学公正。绩效评价应当运用科</w:t>
      </w:r>
      <w:r>
        <w:rPr>
          <w:rStyle w:val="a8"/>
          <w:rFonts w:ascii="楷体" w:eastAsia="楷体" w:hAnsi="楷体" w:hint="eastAsia"/>
          <w:spacing w:val="-4"/>
          <w:sz w:val="32"/>
          <w:szCs w:val="32"/>
        </w:rPr>
        <w:t>学合理的方法，按照规范的程序，对项目绩效进行客观、公正的反映。</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w:t>
      </w:r>
      <w:r>
        <w:rPr>
          <w:rStyle w:val="a8"/>
          <w:rFonts w:ascii="楷体" w:eastAsia="楷体" w:hAnsi="楷体" w:hint="eastAsia"/>
          <w:spacing w:val="-4"/>
          <w:sz w:val="32"/>
          <w:szCs w:val="32"/>
        </w:rPr>
        <w:lastRenderedPageBreak/>
        <w:t>支出、谁自评”。部门评价和财政评价应在单位自评的基础上开展。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绩效评价指标体系根据《预算绩效评价共性指标体系框</w:t>
      </w:r>
      <w:r>
        <w:rPr>
          <w:rStyle w:val="a8"/>
          <w:rFonts w:ascii="楷体" w:eastAsia="楷体" w:hAnsi="楷体" w:hint="eastAsia"/>
          <w:spacing w:val="-4"/>
          <w:sz w:val="32"/>
          <w:szCs w:val="32"/>
        </w:rPr>
        <w:t>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号）等文件精神，结合专项特点，在与专家组、项目充分协商的基础上，评价工作组细化了该项目的绩效评价指标体系。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一级指标为：决策、过程、产出、效益。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二级指标为：项目立项、绩效目标、资金投入、资金管理、组织实施、产出数量、产出质量、产出时效、产出成本、项目效益。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三级指标为：立项依据充分性、立项程序规范性、绩效目标合理性</w:t>
      </w:r>
      <w:r>
        <w:rPr>
          <w:rStyle w:val="a8"/>
          <w:rFonts w:ascii="楷体" w:eastAsia="楷体" w:hAnsi="楷体" w:hint="eastAsia"/>
          <w:spacing w:val="-4"/>
          <w:sz w:val="32"/>
          <w:szCs w:val="32"/>
        </w:rPr>
        <w:t>、绩效指标明确性、预算编制科学性、资金分配合理性、资金到位率、预算执行率、资金使用合规性、管理制度健全性、制度执行有效性、实际完成率、质量达标率、完成及时性、成本节约率、社会效益、生态效益、服务对象满意度。</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绩效评价从项目决策、项目过程、项目产出、项目效益四个维</w:t>
      </w:r>
      <w:r>
        <w:rPr>
          <w:rStyle w:val="a8"/>
          <w:rFonts w:ascii="楷体" w:eastAsia="楷体" w:hAnsi="楷体" w:hint="eastAsia"/>
          <w:spacing w:val="-4"/>
          <w:sz w:val="32"/>
          <w:szCs w:val="32"/>
        </w:rPr>
        <w:lastRenderedPageBreak/>
        <w:t>度进行评价。评价对象为项目目标实施情况，评价核心为资金的支出完成情况和项目的产出效益。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本次评价指标中，既有定性指标又有定量指标，各类指标因考核内容不同和客观标准不同存在较大差异，因此核定具体指标时采用了不同方法，具体评价方法如下：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）比较法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通过对绩效目标与实施效果、历史与当期情况，综合分析绩效目标实现程度。对项目最终验收情况与年度绩效目标对比、预算资金执行情况等相关因素进行比较。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）因素分析法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绩效评价标准通常包括计划标准、行业标准、历史标准等。本次绩效评价采用计划标准，以预先制定的目标、计划、预算、定额等作为</w:t>
      </w:r>
      <w:r>
        <w:rPr>
          <w:rStyle w:val="a8"/>
          <w:rFonts w:ascii="楷体" w:eastAsia="楷体" w:hAnsi="楷体" w:hint="eastAsia"/>
          <w:spacing w:val="-4"/>
          <w:sz w:val="32"/>
          <w:szCs w:val="32"/>
        </w:rPr>
        <w:t>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rsidR="003B33F6" w:rsidRDefault="00DA4DA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我单位于</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日，确定绩效评价工作小组，正式开</w:t>
      </w:r>
      <w:r>
        <w:rPr>
          <w:rStyle w:val="a8"/>
          <w:rFonts w:ascii="楷体" w:eastAsia="楷体" w:hAnsi="楷体" w:hint="eastAsia"/>
          <w:spacing w:val="-4"/>
          <w:sz w:val="32"/>
          <w:szCs w:val="32"/>
        </w:rPr>
        <w:lastRenderedPageBreak/>
        <w:t>始前期准备工作，通过对评价对象前期调研，确定了评价的目的、方法以及评价的原则，根据项目的内容和特征制定了评价指标体系及评价标准。绩效评价工作小组人员名单及分工如下：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王占和：主要负责绩效评价组织协调工作，上情下达，制定绩效评价目标及考核项目；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朱建华：主要负责对接项目承建单位经办人员，组织收集审核项目相关工程资料，审核项目相关文件、实施方案、招投标档案等资料；</w:t>
      </w:r>
      <w:r>
        <w:rPr>
          <w:rStyle w:val="a8"/>
          <w:rFonts w:ascii="楷体" w:eastAsia="楷体" w:hAnsi="楷体" w:hint="eastAsia"/>
          <w:spacing w:val="-4"/>
          <w:sz w:val="32"/>
          <w:szCs w:val="32"/>
        </w:rPr>
        <w:br/>
      </w:r>
      <w:r>
        <w:rPr>
          <w:rStyle w:val="a8"/>
          <w:rFonts w:ascii="楷体" w:eastAsia="楷体" w:hAnsi="楷体" w:hint="eastAsia"/>
          <w:spacing w:val="-4"/>
          <w:sz w:val="32"/>
          <w:szCs w:val="32"/>
        </w:rPr>
        <w:t>梁世川：主要负责对接项目相关财务人员，负责收集查阅项目资金支付财务凭证相关附件资料，审核资金使用合规性、管理机制及操作流程。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黄媚：主要负责记录整理绩效评价过程中存在问题，编制绩效评价目标初稿，撰写绩效评价相关文稿。</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日，评价工作进入实施阶段。在数据采集方面，评价小组整理</w:t>
      </w:r>
      <w:r>
        <w:rPr>
          <w:rStyle w:val="a8"/>
          <w:rFonts w:ascii="楷体" w:eastAsia="楷体" w:hAnsi="楷体" w:hint="eastAsia"/>
          <w:spacing w:val="-4"/>
          <w:sz w:val="32"/>
          <w:szCs w:val="32"/>
        </w:rPr>
        <w:t>单位前期提交的资料，与项目实施负责人沟通，了解资金的内容、操作流程、管理机制、资金使用方向等情况并采集信息，了解项目设置背景及资金使用等情况。</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日，评价小组按照绩效评价的原则和规范，对取得的资料进行审查核实，对采集的数据进行分析，按照绩效评价指标评分表逐项进行打分、分析、汇总各方评价结果。</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日，评价小组撰写绩效评价报告，按</w:t>
      </w:r>
      <w:r>
        <w:rPr>
          <w:rStyle w:val="a8"/>
          <w:rFonts w:ascii="楷体" w:eastAsia="楷体" w:hAnsi="楷体" w:hint="eastAsia"/>
          <w:spacing w:val="-4"/>
          <w:sz w:val="32"/>
          <w:szCs w:val="32"/>
        </w:rPr>
        <w:lastRenderedPageBreak/>
        <w:t>照新疆维吾尔自治区财政绩效管理信息系统绩效评价模块中统一格式和文本框架撰写绩效评价报告并提</w:t>
      </w:r>
      <w:r>
        <w:rPr>
          <w:rStyle w:val="a8"/>
          <w:rFonts w:ascii="楷体" w:eastAsia="楷体" w:hAnsi="楷体" w:hint="eastAsia"/>
          <w:spacing w:val="-4"/>
          <w:sz w:val="32"/>
          <w:szCs w:val="32"/>
        </w:rPr>
        <w:t>交审核。</w:t>
      </w:r>
      <w:r>
        <w:rPr>
          <w:rStyle w:val="a8"/>
          <w:rFonts w:ascii="楷体" w:eastAsia="楷体" w:hAnsi="楷体" w:hint="eastAsia"/>
          <w:spacing w:val="-4"/>
          <w:sz w:val="32"/>
          <w:szCs w:val="32"/>
        </w:rPr>
        <w:br/>
        <w:t>5.</w:t>
      </w:r>
      <w:r>
        <w:rPr>
          <w:rStyle w:val="a8"/>
          <w:rFonts w:ascii="楷体" w:eastAsia="楷体" w:hAnsi="楷体" w:hint="eastAsia"/>
          <w:spacing w:val="-4"/>
          <w:sz w:val="32"/>
          <w:szCs w:val="32"/>
        </w:rPr>
        <w:t>问题整改</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a8"/>
          <w:rFonts w:ascii="楷体" w:eastAsia="楷体" w:hAnsi="楷体" w:hint="eastAsia"/>
          <w:spacing w:val="-4"/>
          <w:sz w:val="32"/>
          <w:szCs w:val="32"/>
        </w:rPr>
        <w:br/>
        <w:t>6.</w:t>
      </w:r>
      <w:r>
        <w:rPr>
          <w:rStyle w:val="a8"/>
          <w:rFonts w:ascii="楷体" w:eastAsia="楷体" w:hAnsi="楷体" w:hint="eastAsia"/>
          <w:spacing w:val="-4"/>
          <w:sz w:val="32"/>
          <w:szCs w:val="32"/>
        </w:rPr>
        <w:t>档案整理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建立和落实档案管理制度，将项目相关资料存档，包括但不限于：评价项目基本情况和相关文件、评价实施方案、项目支付资料等相关档案。</w:t>
      </w:r>
    </w:p>
    <w:p w:rsidR="003B33F6" w:rsidRDefault="00DA4DA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w:t>
      </w:r>
      <w:r>
        <w:rPr>
          <w:rStyle w:val="a8"/>
          <w:rFonts w:ascii="楷体" w:eastAsia="楷体" w:hAnsi="楷体" w:hint="eastAsia"/>
          <w:spacing w:val="-4"/>
          <w:sz w:val="32"/>
          <w:szCs w:val="32"/>
        </w:rPr>
        <w:t>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评价组对照项目绩效评价指标体系，从决策、过程、产出和效益四个维度，通过数据采集、实地调研和问卷访谈等方式，对“</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年度新疆地质遗迹国情调查与评价（古生物化石调查与评价）项目”项目绩效进行客观公正的评价，本项目总得分为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分，绩效评级属于“优”。其中，决策类指标得分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分，效益类指标得分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经评价，本项目达到了年初设立的绩效目标，在实施过程中取得了良好的成效，具体表现在：通过建成</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个化石数据集、</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处化石产地调</w:t>
      </w:r>
      <w:r>
        <w:rPr>
          <w:rStyle w:val="a8"/>
          <w:rFonts w:ascii="楷体" w:eastAsia="楷体" w:hAnsi="楷体" w:hint="eastAsia"/>
          <w:spacing w:val="-4"/>
          <w:sz w:val="32"/>
          <w:szCs w:val="32"/>
        </w:rPr>
        <w:t>查、</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次专家交流研讨，优选与矿产资源关系密切的化石产区，开展古生物化石科学研究工作，支撑我区古生物化石资源保护和利用示范展示区建设。</w:t>
      </w:r>
    </w:p>
    <w:p w:rsidR="003B33F6" w:rsidRDefault="00DA4DA2">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3B33F6" w:rsidRDefault="00DA4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 xml:space="preserve"> 20 </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）立项依据充分性：《关于批复自治区本级</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年部门预算的通知》（新财预〔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号）并结合新疆维吾尔自治区地质环境监测研究院职责组织实施。围绕新疆维吾尔自治区地质环</w:t>
      </w:r>
      <w:r>
        <w:rPr>
          <w:rStyle w:val="a8"/>
          <w:rFonts w:ascii="楷体" w:eastAsia="楷体" w:hAnsi="楷体" w:hint="eastAsia"/>
          <w:spacing w:val="-4"/>
          <w:sz w:val="32"/>
          <w:szCs w:val="32"/>
        </w:rPr>
        <w:t>境监测研究院年度工作重点和工作计划制定经费预算，根据评分标准，该指标不扣分，得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）立项程序规范性：项目申请、设立过程符合相关要求，严</w:t>
      </w:r>
      <w:r>
        <w:rPr>
          <w:rStyle w:val="a8"/>
          <w:rFonts w:ascii="楷体" w:eastAsia="楷体" w:hAnsi="楷体" w:hint="eastAsia"/>
          <w:spacing w:val="-4"/>
          <w:sz w:val="32"/>
          <w:szCs w:val="32"/>
        </w:rPr>
        <w:lastRenderedPageBreak/>
        <w:t>格按照审批流程准备符合要求的文件、材料；根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）绩效目标合理性：①该项目已设置年度绩效目标，具体内容为“开展重</w:t>
      </w:r>
      <w:r>
        <w:rPr>
          <w:rStyle w:val="a8"/>
          <w:rFonts w:ascii="楷体" w:eastAsia="楷体" w:hAnsi="楷体" w:hint="eastAsia"/>
          <w:spacing w:val="-4"/>
          <w:sz w:val="32"/>
          <w:szCs w:val="32"/>
        </w:rPr>
        <w:t>要古生物化石资源调查及重要古生物化石产地示范调查，优选与矿产资源关系密切的化石产区，开展古生物化石科学研究工作。统筹全疆古生物化石数据库建设，拓展科普平台，宣传新疆特色的古生物产地和化石标本，支撑我区古生物化石资源保护和利用示范展示区建设。”</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②该项目实际工作内容为：通过建成</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个化石数据集、</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处化石产地调查、</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次专家交流研讨，优选与矿产资源关系密切的化石产区，开展古生物化石科学研究工作，支撑我区古生物化石资源保护和利用示范展示区建设。绩效目标与实际工作内容一致，两者具有相关性。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w:t>
      </w:r>
      <w:r>
        <w:rPr>
          <w:rStyle w:val="a8"/>
          <w:rFonts w:ascii="楷体" w:eastAsia="楷体" w:hAnsi="楷体" w:hint="eastAsia"/>
          <w:spacing w:val="-4"/>
          <w:sz w:val="32"/>
          <w:szCs w:val="32"/>
        </w:rPr>
        <w:t>指标、质量指标、时效指标、效益指标，完成了</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处化石产地调查、建成</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个化石数据集、</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次专家交流研讨，优选与矿产资源关系密切的化石产区，支撑我区古生物化石资源保护和利用示范展示区建设，预期产出效益和效果符合正常的业绩水平。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95.00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95.00</w:t>
      </w:r>
      <w:r>
        <w:rPr>
          <w:rStyle w:val="a8"/>
          <w:rFonts w:ascii="楷体" w:eastAsia="楷体" w:hAnsi="楷体" w:hint="eastAsia"/>
          <w:spacing w:val="-4"/>
          <w:sz w:val="32"/>
          <w:szCs w:val="32"/>
        </w:rPr>
        <w:t>万元，预算确定的项目资金与预算确定的</w:t>
      </w:r>
      <w:r>
        <w:rPr>
          <w:rStyle w:val="a8"/>
          <w:rFonts w:ascii="楷体" w:eastAsia="楷体" w:hAnsi="楷体" w:hint="eastAsia"/>
          <w:spacing w:val="-4"/>
          <w:sz w:val="32"/>
          <w:szCs w:val="32"/>
        </w:rPr>
        <w:lastRenderedPageBreak/>
        <w:t>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w:t>
      </w:r>
      <w:r>
        <w:rPr>
          <w:rStyle w:val="a8"/>
          <w:rFonts w:ascii="楷体" w:eastAsia="楷体" w:hAnsi="楷体" w:hint="eastAsia"/>
          <w:spacing w:val="-4"/>
          <w:sz w:val="32"/>
          <w:szCs w:val="32"/>
        </w:rPr>
        <w:t>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个，定性指标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71.43%</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70.0%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该《项目绩效目标申报表》中，数量指标指标值为“建立全奖古生物化石数据集</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个，化石产地调查</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次，组织开展交流研讨</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次”，三级指标的年度指标值与年度绩效目标中任务数一致，已设置时效指标“成果报告完成时间、野外调查完成时间”。已设置的绩效目标具备明确性、可衡量性、可实现性、相关性、时限</w:t>
      </w:r>
      <w:r>
        <w:rPr>
          <w:rStyle w:val="a8"/>
          <w:rFonts w:ascii="楷体" w:eastAsia="楷体" w:hAnsi="楷体" w:hint="eastAsia"/>
          <w:spacing w:val="-4"/>
          <w:sz w:val="32"/>
          <w:szCs w:val="32"/>
        </w:rPr>
        <w:t>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）预算编制科学性：本项目预算申请资金</w:t>
      </w:r>
      <w:r>
        <w:rPr>
          <w:rStyle w:val="a8"/>
          <w:rFonts w:ascii="楷体" w:eastAsia="楷体" w:hAnsi="楷体" w:hint="eastAsia"/>
          <w:spacing w:val="-4"/>
          <w:sz w:val="32"/>
          <w:szCs w:val="32"/>
        </w:rPr>
        <w:t>95.00</w:t>
      </w:r>
      <w:r>
        <w:rPr>
          <w:rStyle w:val="a8"/>
          <w:rFonts w:ascii="楷体" w:eastAsia="楷体" w:hAnsi="楷体" w:hint="eastAsia"/>
          <w:spacing w:val="-4"/>
          <w:sz w:val="32"/>
          <w:szCs w:val="32"/>
        </w:rPr>
        <w:t>万元，我单位在预算申请中严格按照项目实施内容及测算标准进行核算，其中：委托业务费用</w:t>
      </w:r>
      <w:r>
        <w:rPr>
          <w:rStyle w:val="a8"/>
          <w:rFonts w:ascii="楷体" w:eastAsia="楷体" w:hAnsi="楷体" w:hint="eastAsia"/>
          <w:spacing w:val="-4"/>
          <w:sz w:val="32"/>
          <w:szCs w:val="32"/>
        </w:rPr>
        <w:t>80.00</w:t>
      </w:r>
      <w:r>
        <w:rPr>
          <w:rStyle w:val="a8"/>
          <w:rFonts w:ascii="楷体" w:eastAsia="楷体" w:hAnsi="楷体" w:hint="eastAsia"/>
          <w:spacing w:val="-4"/>
          <w:sz w:val="32"/>
          <w:szCs w:val="32"/>
        </w:rPr>
        <w:t>万元、劳务费用</w:t>
      </w:r>
      <w:r>
        <w:rPr>
          <w:rStyle w:val="a8"/>
          <w:rFonts w:ascii="楷体" w:eastAsia="楷体" w:hAnsi="楷体" w:hint="eastAsia"/>
          <w:spacing w:val="-4"/>
          <w:sz w:val="32"/>
          <w:szCs w:val="32"/>
        </w:rPr>
        <w:t>12.96</w:t>
      </w:r>
      <w:r>
        <w:rPr>
          <w:rStyle w:val="a8"/>
          <w:rFonts w:ascii="楷体" w:eastAsia="楷体" w:hAnsi="楷体" w:hint="eastAsia"/>
          <w:spacing w:val="-4"/>
          <w:sz w:val="32"/>
          <w:szCs w:val="32"/>
        </w:rPr>
        <w:t>万元、差旅费用</w:t>
      </w:r>
      <w:r>
        <w:rPr>
          <w:rStyle w:val="a8"/>
          <w:rFonts w:ascii="楷体" w:eastAsia="楷体" w:hAnsi="楷体" w:hint="eastAsia"/>
          <w:spacing w:val="-4"/>
          <w:sz w:val="32"/>
          <w:szCs w:val="32"/>
        </w:rPr>
        <w:t>0.74</w:t>
      </w:r>
      <w:r>
        <w:rPr>
          <w:rStyle w:val="a8"/>
          <w:rFonts w:ascii="楷体" w:eastAsia="楷体" w:hAnsi="楷体" w:hint="eastAsia"/>
          <w:spacing w:val="-4"/>
          <w:sz w:val="32"/>
          <w:szCs w:val="32"/>
        </w:rPr>
        <w:t>万元、办公费用</w:t>
      </w:r>
      <w:r>
        <w:rPr>
          <w:rStyle w:val="a8"/>
          <w:rFonts w:ascii="楷体" w:eastAsia="楷体" w:hAnsi="楷体" w:hint="eastAsia"/>
          <w:spacing w:val="-4"/>
          <w:sz w:val="32"/>
          <w:szCs w:val="32"/>
        </w:rPr>
        <w:t>0.65</w:t>
      </w:r>
      <w:r>
        <w:rPr>
          <w:rStyle w:val="a8"/>
          <w:rFonts w:ascii="楷体" w:eastAsia="楷体" w:hAnsi="楷体" w:hint="eastAsia"/>
          <w:spacing w:val="-4"/>
          <w:sz w:val="32"/>
          <w:szCs w:val="32"/>
        </w:rPr>
        <w:t>万元、其他交通费用</w:t>
      </w:r>
      <w:r>
        <w:rPr>
          <w:rStyle w:val="a8"/>
          <w:rFonts w:ascii="楷体" w:eastAsia="楷体" w:hAnsi="楷体" w:hint="eastAsia"/>
          <w:spacing w:val="-4"/>
          <w:sz w:val="32"/>
          <w:szCs w:val="32"/>
        </w:rPr>
        <w:t>0.65</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）资金分配合理性：资金分配按照《关于批复自治</w:t>
      </w:r>
      <w:r>
        <w:rPr>
          <w:rStyle w:val="a8"/>
          <w:rFonts w:ascii="楷体" w:eastAsia="楷体" w:hAnsi="楷体" w:hint="eastAsia"/>
          <w:spacing w:val="-4"/>
          <w:sz w:val="32"/>
          <w:szCs w:val="32"/>
        </w:rPr>
        <w:t>区本级</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lastRenderedPageBreak/>
        <w:t>年部门预算的通知》（新财预〔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号）文件要求，</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用于项目实施，资金分配与实际相适应，根据评分标准，该指标不扣分，得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3B33F6" w:rsidRDefault="00DA4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 xml:space="preserve">　项目过程类指标包括资金管理和组织实施两方面的内容，由</w:t>
      </w:r>
      <w:r>
        <w:rPr>
          <w:rStyle w:val="a8"/>
          <w:rFonts w:ascii="楷体" w:eastAsia="楷体" w:hAnsi="楷体" w:hint="eastAsia"/>
          <w:spacing w:val="-4"/>
          <w:sz w:val="32"/>
          <w:szCs w:val="32"/>
        </w:rPr>
        <w:t xml:space="preserve"> 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 xml:space="preserve">20 </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）资金到位率：该项目总投资</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万元，自治区财政实际下达经费</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万元，其中当年财政拨款</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万元，上年结转资金</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万元，财政资金足额拨付到位，根据评分标准，该指标不扣分，得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w:t>
      </w:r>
      <w:r>
        <w:rPr>
          <w:rStyle w:val="a8"/>
          <w:rFonts w:ascii="楷体" w:eastAsia="楷体" w:hAnsi="楷体" w:hint="eastAsia"/>
          <w:spacing w:val="-4"/>
          <w:sz w:val="32"/>
          <w:szCs w:val="32"/>
        </w:rPr>
        <w:t>行率：本项目申请预算金额为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 xml:space="preserve"> 95</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 xml:space="preserve"> 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。项目资金支出总体能够按照预算执行，根据评分标准，该指标不扣分，得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）资金使用合规性：根据《关于批复自治区本级</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年部门预算的通知》（新财预〔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号）符合预算批复规定用途，不存在截留、挤占、挪用、虚列支出等情况，未发现违规使用情况，根据评分标准，该指标不扣分，得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）管理制度健全性：该项目严格按照《新疆维吾尔自治区地质环境监</w:t>
      </w:r>
      <w:r>
        <w:rPr>
          <w:rStyle w:val="a8"/>
          <w:rFonts w:ascii="楷体" w:eastAsia="楷体" w:hAnsi="楷体" w:hint="eastAsia"/>
          <w:spacing w:val="-4"/>
          <w:sz w:val="32"/>
          <w:szCs w:val="32"/>
        </w:rPr>
        <w:t>测研究院财务制度》及国家级地质遗迹保护专项资金管理办法相关的制度和管理规定实施，对财政专项资金进行严格管理，基本做到了专款专用，根据评分标准，该指标不扣分，</w:t>
      </w:r>
      <w:r>
        <w:rPr>
          <w:rStyle w:val="a8"/>
          <w:rFonts w:ascii="楷体" w:eastAsia="楷体" w:hAnsi="楷体" w:hint="eastAsia"/>
          <w:spacing w:val="-4"/>
          <w:sz w:val="32"/>
          <w:szCs w:val="32"/>
        </w:rPr>
        <w:lastRenderedPageBreak/>
        <w:t>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部门提出经费预算支出可行性方案，经过与财经领导小组沟通后，报局务会会议研究执行，财务对资金的使用合法合规性进行监督，年底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3B33F6" w:rsidRDefault="00DA4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项目产出类指标包括产出数量、产出质量、产出时效三个方面的内容，由三个三级指标构成，权重分为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数量指标完成情况分析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“全疆古生物化石数据集数量”指标，预期指标值为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“化石产地调查数量”指标，预期指标值为大于等于</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处，实际完成值为</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处，指标完成率为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“组织开展交流研讨次数”指标，预期指标值为大于等于</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次，指标完成率为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7</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、产出质量指标完成情况分析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“成果报告审查合格率”指标，预期指标值为等于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3</w:t>
      </w:r>
      <w:r>
        <w:rPr>
          <w:rStyle w:val="a8"/>
          <w:rFonts w:ascii="楷体" w:eastAsia="楷体" w:hAnsi="楷体" w:hint="eastAsia"/>
          <w:spacing w:val="-4"/>
          <w:sz w:val="32"/>
          <w:szCs w:val="32"/>
        </w:rPr>
        <w:t>、产出时效指标完成情况分析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“野外调查完成时间”指标，预期指标值为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t>,</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8</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日，指标完成率为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成果报告完成时间”指标，预期指标值为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t>,</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3B33F6" w:rsidRDefault="00DA4DA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3B33F6" w:rsidRDefault="00DA4DA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项目效益类指标由</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个二级指标和</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经济效益完成情况分析：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社会效益完成情况分析：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“编制成果报告”指标，预期指标值为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份，指标完成率为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份，指标完成率为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生态效益完成情况分析：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满意度指标完成情况：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3B33F6" w:rsidRDefault="003B33F6">
      <w:pPr>
        <w:spacing w:line="540" w:lineRule="exact"/>
        <w:ind w:firstLine="567"/>
        <w:rPr>
          <w:rStyle w:val="a8"/>
          <w:rFonts w:ascii="楷体" w:eastAsia="楷体" w:hAnsi="楷体"/>
          <w:spacing w:val="-4"/>
          <w:sz w:val="32"/>
          <w:szCs w:val="32"/>
        </w:rPr>
      </w:pPr>
    </w:p>
    <w:p w:rsidR="003B33F6" w:rsidRDefault="00DA4DA2">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lastRenderedPageBreak/>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3B33F6" w:rsidRDefault="00DA4DA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（二）存在问题及原因分析</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、存在问题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）绩效管理理念、知识体系更新迭代较慢。长期以来形成的以投入为导向的管理模式让人们仍将预算的编制和分配、执行情况作为重点，对支出过程及结果关注不够</w:t>
      </w:r>
      <w:r>
        <w:rPr>
          <w:rStyle w:val="a8"/>
          <w:rFonts w:ascii="楷体" w:eastAsia="楷体" w:hAnsi="楷体" w:hint="eastAsia"/>
          <w:spacing w:val="-4"/>
          <w:sz w:val="32"/>
          <w:szCs w:val="32"/>
        </w:rPr>
        <w:t>，重点关心资金执行率，对于资金使用与项目执行进度的关系没有正确的认识，认为资金在使用过程中只要能够合法合规，按计划完成任务就行，至于如何让资金使用效益最大化缺乏思考。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目标体系不完善。目前，对项目绩效目标、方向设立不够明确，资金分配和使用责任落实不到位；预算执行中缺乏相应的绩效运行跟踪监控措施，仅限于日常监控及执行进度监控；事后绩效评价分析不及时、不全面。</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）评价指标设计相对单一。实际工作中，绩效指标设置较为粗放，指标权重的确定、定性指标的衡量等缺乏科学的方法。由于对绩效监控工作的认识不足，造</w:t>
      </w:r>
      <w:r>
        <w:rPr>
          <w:rStyle w:val="a8"/>
          <w:rFonts w:ascii="楷体" w:eastAsia="楷体" w:hAnsi="楷体" w:hint="eastAsia"/>
          <w:spacing w:val="-4"/>
          <w:sz w:val="32"/>
          <w:szCs w:val="32"/>
        </w:rPr>
        <w:t>成设定项目绩效评价指标很难反映真实的绩效情况，势必就造成了部分指标“形同虚设”，在绩效监控过程中，对绩效指标的衡量与评价就出现了偏差。</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、问题产生的原因</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缺少专业的项目绩效监控管理人员。绩效监控工作涉及项目业务、财务、效益等方面知识，能全面掌握这些知识的人员较少，特别是能对效益方面进行较好评价的人员更加缺乏，导致项目绩效监控不及时、不到位。</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）绩效监控管理制度不够完善。一是指标体系和评价方法不够完善。一方面是缺乏统一、科学、合理的预算绩效管理指标体系，导致绩效评价指标单一，设置粗放，部分指标不合</w:t>
      </w:r>
      <w:r>
        <w:rPr>
          <w:rStyle w:val="a8"/>
          <w:rFonts w:ascii="楷体" w:eastAsia="楷体" w:hAnsi="楷体" w:hint="eastAsia"/>
          <w:spacing w:val="-4"/>
          <w:sz w:val="32"/>
          <w:szCs w:val="32"/>
        </w:rPr>
        <w:t>理。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不能应用评价</w:t>
      </w:r>
      <w:r>
        <w:rPr>
          <w:rStyle w:val="a8"/>
          <w:rFonts w:ascii="楷体" w:eastAsia="楷体" w:hAnsi="楷体" w:hint="eastAsia"/>
          <w:spacing w:val="-4"/>
          <w:sz w:val="32"/>
          <w:szCs w:val="32"/>
        </w:rPr>
        <w:t>结果进行有效的预算绩效分析和改进。</w:t>
      </w:r>
    </w:p>
    <w:p w:rsidR="003B33F6" w:rsidRDefault="00DA4DA2">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3B33F6" w:rsidRDefault="00DA4DA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进一步加强对绩效管理工作的组织领导，提高对预算绩效</w:t>
      </w:r>
      <w:r>
        <w:rPr>
          <w:rStyle w:val="a8"/>
          <w:rFonts w:ascii="楷体" w:eastAsia="楷体" w:hAnsi="楷体" w:hint="eastAsia"/>
          <w:spacing w:val="-4"/>
          <w:sz w:val="32"/>
          <w:szCs w:val="32"/>
        </w:rPr>
        <w:lastRenderedPageBreak/>
        <w:t>管理工作重要性的认识，总结经验查找问题，完善绩效评价管理办法，建立绩效工作考核制度，加大对全面实施预算绩效管理和绩效管理工作的学习力度，让“花钱必问效，无效必问责”的理念深入工作每个环节。</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完善评价指标体系。结合绩效评价对象特点和绩效评价工作实际开展的需要，设计更加科学、合理的绩效指标，力求更加全面完整、客观真实地反映评价对象实施的绩效情况，突出项目特色，细化、量化绩效指标。</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、加强人员安排。配备项目专</w:t>
      </w:r>
      <w:r>
        <w:rPr>
          <w:rStyle w:val="a8"/>
          <w:rFonts w:ascii="楷体" w:eastAsia="楷体" w:hAnsi="楷体" w:hint="eastAsia"/>
          <w:spacing w:val="-4"/>
          <w:sz w:val="32"/>
          <w:szCs w:val="32"/>
        </w:rPr>
        <w:t>职绩效管理人员，不断加强学习培训，通过各种形式的学习培训，提升人员自身的业务素质。</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注重宣传引导，营造推进绩效评价工作的良好氛围。积极采取措施，开展对绩效评价工作重要性的宣传。同时，调动各方面的积极性，善于利用各方面的力量，加强沟通联系，多听取意见，做好解释、说明工作，达到相互理解、配合和支持，形成共识，推动绩效评价工作的开展。</w:t>
      </w:r>
    </w:p>
    <w:p w:rsidR="003B33F6" w:rsidRDefault="00DA4DA2">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3B33F6" w:rsidRDefault="003B33F6">
      <w:pPr>
        <w:spacing w:line="540" w:lineRule="exact"/>
        <w:ind w:firstLineChars="200" w:firstLine="627"/>
        <w:rPr>
          <w:rStyle w:val="a8"/>
          <w:rFonts w:ascii="楷体" w:eastAsia="楷体" w:hAnsi="楷体"/>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p w:rsidR="003B33F6" w:rsidRDefault="003B33F6">
      <w:pPr>
        <w:spacing w:line="540" w:lineRule="exact"/>
        <w:ind w:firstLine="567"/>
        <w:rPr>
          <w:rStyle w:val="a8"/>
          <w:rFonts w:ascii="仿宋" w:eastAsia="仿宋" w:hAnsi="仿宋"/>
          <w:b w:val="0"/>
          <w:spacing w:val="-4"/>
          <w:sz w:val="32"/>
          <w:szCs w:val="32"/>
        </w:rPr>
      </w:pPr>
    </w:p>
    <w:sectPr w:rsidR="003B33F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DA2" w:rsidRDefault="00DA4DA2">
      <w:r>
        <w:separator/>
      </w:r>
    </w:p>
  </w:endnote>
  <w:endnote w:type="continuationSeparator" w:id="0">
    <w:p w:rsidR="00DA4DA2" w:rsidRDefault="00DA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3B33F6" w:rsidRDefault="00DA4DA2">
        <w:pPr>
          <w:pStyle w:val="a4"/>
          <w:jc w:val="center"/>
        </w:pPr>
        <w:r>
          <w:fldChar w:fldCharType="begin"/>
        </w:r>
        <w:r>
          <w:instrText>PAGE   \* MERGEFORMAT</w:instrText>
        </w:r>
        <w:r>
          <w:fldChar w:fldCharType="separate"/>
        </w:r>
        <w:r w:rsidR="00772CCC" w:rsidRPr="00772CCC">
          <w:rPr>
            <w:noProof/>
            <w:lang w:val="zh-CN"/>
          </w:rPr>
          <w:t>2</w:t>
        </w:r>
        <w:r>
          <w:fldChar w:fldCharType="end"/>
        </w:r>
      </w:p>
    </w:sdtContent>
  </w:sdt>
  <w:p w:rsidR="003B33F6" w:rsidRDefault="003B33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DA2" w:rsidRDefault="00DA4DA2">
      <w:r>
        <w:separator/>
      </w:r>
    </w:p>
  </w:footnote>
  <w:footnote w:type="continuationSeparator" w:id="0">
    <w:p w:rsidR="00DA4DA2" w:rsidRDefault="00DA4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B33F6"/>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772CCC"/>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A4DA2"/>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1578</Words>
  <Characters>9000</Characters>
  <Application>Microsoft Office Word</Application>
  <DocSecurity>0</DocSecurity>
  <Lines>75</Lines>
  <Paragraphs>21</Paragraphs>
  <ScaleCrop>false</ScaleCrop>
  <Company>P R C</Company>
  <LinksUpToDate>false</LinksUpToDate>
  <CharactersWithSpaces>10557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