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ECE" w:rsidRDefault="002F445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A71ECE" w:rsidRDefault="00A71ECE">
      <w:pPr>
        <w:spacing w:line="540" w:lineRule="exact"/>
        <w:jc w:val="center"/>
        <w:rPr>
          <w:rFonts w:ascii="华文中宋" w:eastAsia="华文中宋" w:hAnsi="华文中宋" w:cs="宋体"/>
          <w:b/>
          <w:kern w:val="0"/>
          <w:sz w:val="52"/>
          <w:szCs w:val="52"/>
        </w:rPr>
      </w:pPr>
    </w:p>
    <w:p w:rsidR="00A71ECE" w:rsidRDefault="00A71ECE">
      <w:pPr>
        <w:spacing w:line="540" w:lineRule="exact"/>
        <w:jc w:val="center"/>
        <w:rPr>
          <w:rFonts w:ascii="华文中宋" w:eastAsia="华文中宋" w:hAnsi="华文中宋" w:cs="宋体"/>
          <w:b/>
          <w:kern w:val="0"/>
          <w:sz w:val="52"/>
          <w:szCs w:val="52"/>
        </w:rPr>
      </w:pPr>
    </w:p>
    <w:p w:rsidR="00A71ECE" w:rsidRDefault="00A71ECE">
      <w:pPr>
        <w:spacing w:line="540" w:lineRule="exact"/>
        <w:jc w:val="center"/>
        <w:rPr>
          <w:rFonts w:ascii="华文中宋" w:eastAsia="华文中宋" w:hAnsi="华文中宋" w:cs="宋体"/>
          <w:b/>
          <w:kern w:val="0"/>
          <w:sz w:val="52"/>
          <w:szCs w:val="52"/>
        </w:rPr>
      </w:pPr>
    </w:p>
    <w:p w:rsidR="00A71ECE" w:rsidRDefault="00A71ECE">
      <w:pPr>
        <w:spacing w:line="540" w:lineRule="exact"/>
        <w:jc w:val="center"/>
        <w:rPr>
          <w:rFonts w:ascii="华文中宋" w:eastAsia="华文中宋" w:hAnsi="华文中宋" w:cs="宋体"/>
          <w:b/>
          <w:kern w:val="0"/>
          <w:sz w:val="52"/>
          <w:szCs w:val="52"/>
        </w:rPr>
      </w:pPr>
    </w:p>
    <w:p w:rsidR="00A71ECE" w:rsidRDefault="00A71ECE">
      <w:pPr>
        <w:spacing w:line="540" w:lineRule="exact"/>
        <w:jc w:val="center"/>
        <w:rPr>
          <w:rFonts w:ascii="华文中宋" w:eastAsia="华文中宋" w:hAnsi="华文中宋" w:cs="宋体"/>
          <w:b/>
          <w:kern w:val="0"/>
          <w:sz w:val="52"/>
          <w:szCs w:val="52"/>
        </w:rPr>
      </w:pPr>
    </w:p>
    <w:p w:rsidR="00A71ECE" w:rsidRDefault="00A71ECE">
      <w:pPr>
        <w:spacing w:line="540" w:lineRule="exact"/>
        <w:jc w:val="center"/>
        <w:rPr>
          <w:rFonts w:ascii="华文中宋" w:eastAsia="华文中宋" w:hAnsi="华文中宋" w:cs="宋体"/>
          <w:b/>
          <w:kern w:val="0"/>
          <w:sz w:val="52"/>
          <w:szCs w:val="52"/>
        </w:rPr>
      </w:pPr>
    </w:p>
    <w:p w:rsidR="00A71ECE" w:rsidRDefault="002F445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A71ECE" w:rsidRDefault="00A71ECE">
      <w:pPr>
        <w:spacing w:line="540" w:lineRule="exact"/>
        <w:jc w:val="center"/>
        <w:rPr>
          <w:rFonts w:ascii="华文中宋" w:eastAsia="华文中宋" w:hAnsi="华文中宋" w:cs="宋体"/>
          <w:b/>
          <w:kern w:val="0"/>
          <w:sz w:val="52"/>
          <w:szCs w:val="52"/>
        </w:rPr>
      </w:pPr>
    </w:p>
    <w:p w:rsidR="00A71ECE" w:rsidRDefault="002F445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A71ECE" w:rsidRDefault="00A71ECE">
      <w:pPr>
        <w:spacing w:line="540" w:lineRule="exact"/>
        <w:jc w:val="center"/>
        <w:rPr>
          <w:rFonts w:eastAsia="仿宋_GB2312" w:hAnsi="宋体" w:cs="宋体"/>
          <w:kern w:val="0"/>
          <w:sz w:val="30"/>
          <w:szCs w:val="30"/>
        </w:rPr>
      </w:pPr>
    </w:p>
    <w:p w:rsidR="00A71ECE" w:rsidRDefault="00A71ECE">
      <w:pPr>
        <w:spacing w:line="540" w:lineRule="exact"/>
        <w:jc w:val="center"/>
        <w:rPr>
          <w:rFonts w:eastAsia="仿宋_GB2312" w:hAnsi="宋体" w:cs="宋体"/>
          <w:kern w:val="0"/>
          <w:sz w:val="30"/>
          <w:szCs w:val="30"/>
        </w:rPr>
      </w:pPr>
    </w:p>
    <w:p w:rsidR="00A71ECE" w:rsidRDefault="00A71ECE">
      <w:pPr>
        <w:spacing w:line="540" w:lineRule="exact"/>
        <w:jc w:val="center"/>
        <w:rPr>
          <w:rFonts w:ascii="方正小标宋_GBK" w:eastAsia="方正小标宋_GBK" w:hAnsi="宋体" w:cs="宋体" w:hint="eastAsia"/>
          <w:kern w:val="0"/>
          <w:sz w:val="36"/>
          <w:szCs w:val="36"/>
        </w:rPr>
      </w:pPr>
    </w:p>
    <w:p w:rsidR="00476754" w:rsidRDefault="00476754">
      <w:pPr>
        <w:spacing w:line="540" w:lineRule="exact"/>
        <w:jc w:val="center"/>
        <w:rPr>
          <w:rFonts w:eastAsia="仿宋_GB2312" w:hAnsi="宋体" w:cs="宋体"/>
          <w:kern w:val="0"/>
          <w:sz w:val="30"/>
          <w:szCs w:val="30"/>
        </w:rPr>
      </w:pPr>
      <w:bookmarkStart w:id="0" w:name="_GoBack"/>
      <w:bookmarkEnd w:id="0"/>
    </w:p>
    <w:p w:rsidR="00A71ECE" w:rsidRDefault="00A71ECE">
      <w:pPr>
        <w:spacing w:line="540" w:lineRule="exact"/>
        <w:jc w:val="center"/>
        <w:rPr>
          <w:rFonts w:eastAsia="仿宋_GB2312" w:hAnsi="宋体" w:cs="宋体"/>
          <w:kern w:val="0"/>
          <w:sz w:val="30"/>
          <w:szCs w:val="30"/>
        </w:rPr>
      </w:pPr>
    </w:p>
    <w:p w:rsidR="00A71ECE" w:rsidRDefault="00A71ECE">
      <w:pPr>
        <w:spacing w:line="540" w:lineRule="exact"/>
        <w:jc w:val="center"/>
        <w:rPr>
          <w:rFonts w:eastAsia="仿宋_GB2312" w:hAnsi="宋体" w:cs="宋体"/>
          <w:kern w:val="0"/>
          <w:sz w:val="30"/>
          <w:szCs w:val="30"/>
        </w:rPr>
      </w:pPr>
    </w:p>
    <w:p w:rsidR="00A71ECE" w:rsidRDefault="00A71ECE">
      <w:pPr>
        <w:spacing w:line="540" w:lineRule="exact"/>
        <w:rPr>
          <w:rFonts w:eastAsia="仿宋_GB2312" w:hAnsi="宋体" w:cs="宋体"/>
          <w:kern w:val="0"/>
          <w:sz w:val="30"/>
          <w:szCs w:val="30"/>
        </w:rPr>
      </w:pPr>
    </w:p>
    <w:p w:rsidR="00A71ECE" w:rsidRDefault="002F445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A71ECE" w:rsidRDefault="002F445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自然资源督察事务中心执法办案补充经费</w:t>
      </w:r>
    </w:p>
    <w:p w:rsidR="00A71ECE" w:rsidRDefault="002F445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新疆维吾尔自治区自然资源督察事务中心</w:t>
      </w:r>
    </w:p>
    <w:p w:rsidR="00A71ECE" w:rsidRDefault="002F445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新疆维吾尔自治区自然资源督察事务中心</w:t>
      </w:r>
    </w:p>
    <w:p w:rsidR="00A71ECE" w:rsidRDefault="002F445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田鹏才</w:t>
      </w:r>
    </w:p>
    <w:p w:rsidR="00A71ECE" w:rsidRDefault="002F445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24</w:t>
      </w:r>
      <w:r>
        <w:rPr>
          <w:rStyle w:val="a8"/>
          <w:rFonts w:ascii="楷体" w:eastAsia="楷体" w:hAnsi="楷体" w:hint="eastAsia"/>
          <w:spacing w:val="-4"/>
          <w:sz w:val="32"/>
          <w:szCs w:val="32"/>
        </w:rPr>
        <w:t>日</w:t>
      </w:r>
    </w:p>
    <w:p w:rsidR="00A71ECE" w:rsidRDefault="00A71ECE">
      <w:pPr>
        <w:spacing w:line="700" w:lineRule="exact"/>
        <w:ind w:firstLineChars="236" w:firstLine="708"/>
        <w:jc w:val="left"/>
        <w:rPr>
          <w:rFonts w:eastAsia="仿宋_GB2312" w:hAnsi="宋体" w:cs="宋体"/>
          <w:kern w:val="0"/>
          <w:sz w:val="30"/>
          <w:szCs w:val="30"/>
        </w:rPr>
      </w:pPr>
    </w:p>
    <w:p w:rsidR="00A71ECE" w:rsidRDefault="00A71ECE">
      <w:pPr>
        <w:spacing w:line="540" w:lineRule="exact"/>
        <w:rPr>
          <w:rStyle w:val="a8"/>
          <w:rFonts w:ascii="黑体" w:eastAsia="黑体" w:hAnsi="黑体"/>
          <w:b w:val="0"/>
          <w:spacing w:val="-4"/>
          <w:sz w:val="32"/>
          <w:szCs w:val="32"/>
        </w:rPr>
      </w:pPr>
    </w:p>
    <w:p w:rsidR="00A71ECE" w:rsidRDefault="002F445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自治区党委编委关于印发《新疆维吾尔自治区自然资源厅所属事业单位改革方案》的通知（新党编委〔</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153</w:t>
      </w:r>
      <w:r>
        <w:rPr>
          <w:rStyle w:val="a8"/>
          <w:rFonts w:ascii="楷体" w:eastAsia="楷体" w:hAnsi="楷体" w:hint="eastAsia"/>
          <w:spacing w:val="-4"/>
          <w:sz w:val="32"/>
          <w:szCs w:val="32"/>
        </w:rPr>
        <w:t>号）文件精神，将自治区自然资源法律事务中心更名为“自治区自然资源督察事务中心”，为自治区自然资源厅直属公益一类事业单位，机构规格正处级，核定事业编制</w:t>
      </w:r>
      <w:r>
        <w:rPr>
          <w:rStyle w:val="a8"/>
          <w:rFonts w:ascii="楷体" w:eastAsia="楷体" w:hAnsi="楷体" w:hint="eastAsia"/>
          <w:spacing w:val="-4"/>
          <w:sz w:val="32"/>
          <w:szCs w:val="32"/>
        </w:rPr>
        <w:t>52</w:t>
      </w:r>
      <w:r>
        <w:rPr>
          <w:rStyle w:val="a8"/>
          <w:rFonts w:ascii="楷体" w:eastAsia="楷体" w:hAnsi="楷体" w:hint="eastAsia"/>
          <w:spacing w:val="-4"/>
          <w:sz w:val="32"/>
          <w:szCs w:val="32"/>
        </w:rPr>
        <w:t>名，经费实行全额预算管理。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赋有原自治区国土资源执法监察总队协助开展自治区权限内自然资源领域违法案件查处工作和全区自然资源跨区域违法案件调查处理职责；并在原自治区国土资源执法监察总队开展土地、矿产违法案件查处的基础上，新增权限范围内规划、测绘违法案件调查</w:t>
      </w:r>
      <w:r>
        <w:rPr>
          <w:rStyle w:val="a8"/>
          <w:rFonts w:ascii="楷体" w:eastAsia="楷体" w:hAnsi="楷体" w:hint="eastAsia"/>
          <w:spacing w:val="-4"/>
          <w:sz w:val="32"/>
          <w:szCs w:val="32"/>
        </w:rPr>
        <w:t>处理工作。同时，还承担自治区自然资源督察相关政策、业务、技术方面支撑和保障工作，承担国家和自治区自然资源督察整改落实、专项整治核查和成果报送，协助开展中央环保督察反馈问题整改等工作，通过严查各类违法行为，强化自然资源督察，助力自然资源法治建设，促进自然资源管理服务保障自治区重大战略部署实施，助推自然资源主管部门有力推进重大专项整治行动。通过全面从严执法，切实维护资源开发利用秩序和国家资源权益，有力促进党中央和自治区重大决策部署的贯彻落实。督察事务中心通过办理自然违法案件，收缴罚没款既增加自治区财政收入，也为</w:t>
      </w:r>
      <w:r>
        <w:rPr>
          <w:rStyle w:val="a8"/>
          <w:rFonts w:ascii="楷体" w:eastAsia="楷体" w:hAnsi="楷体" w:hint="eastAsia"/>
          <w:spacing w:val="-4"/>
          <w:sz w:val="32"/>
          <w:szCs w:val="32"/>
        </w:rPr>
        <w:t>维护自治区自然资源开</w:t>
      </w:r>
      <w:r>
        <w:rPr>
          <w:rStyle w:val="a8"/>
          <w:rFonts w:ascii="楷体" w:eastAsia="楷体" w:hAnsi="楷体" w:hint="eastAsia"/>
          <w:spacing w:val="-4"/>
          <w:sz w:val="32"/>
          <w:szCs w:val="32"/>
        </w:rPr>
        <w:lastRenderedPageBreak/>
        <w:t>发利用秩序和全区经济社会高质量发展作出应有贡献。</w:t>
      </w:r>
      <w:r>
        <w:rPr>
          <w:rStyle w:val="a8"/>
          <w:rFonts w:ascii="楷体" w:eastAsia="楷体" w:hAnsi="楷体" w:hint="eastAsia"/>
          <w:spacing w:val="-4"/>
          <w:sz w:val="32"/>
          <w:szCs w:val="32"/>
        </w:rPr>
        <w:br/>
      </w:r>
      <w:r>
        <w:rPr>
          <w:rStyle w:val="a8"/>
          <w:rFonts w:ascii="楷体" w:eastAsia="楷体" w:hAnsi="楷体" w:hint="eastAsia"/>
          <w:spacing w:val="-4"/>
          <w:sz w:val="32"/>
          <w:szCs w:val="32"/>
        </w:rPr>
        <w:t>此项目经费用于自治区督察事务中心执法办案、自然资源督察等工作开展过程中发生的差旅费、现场调查取证费、咨询费、测绘费、鉴定费、劳务费、执法用车燃料费、维修费、过桥过路费以及租用车辆费用等支出，用于保障自然资源督察事务中心日常工作所需办公费、邮电费、内勤等劳务费、租用办公场所等日常公用经费。</w:t>
      </w:r>
    </w:p>
    <w:p w:rsidR="00A71ECE" w:rsidRDefault="002F445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承担自治区职责权限内自然资源违法案件查处的相关工作，依法组织和实施自治区重大以及跨地州、跨区域、跨兵地土</w:t>
      </w:r>
      <w:r>
        <w:rPr>
          <w:rStyle w:val="a8"/>
          <w:rFonts w:ascii="楷体" w:eastAsia="楷体" w:hAnsi="楷体" w:hint="eastAsia"/>
          <w:spacing w:val="-4"/>
          <w:sz w:val="32"/>
          <w:szCs w:val="32"/>
        </w:rPr>
        <w:t>地、矿产、国土空间规划、测绘等违法案件的调查、取证等工作，确保执法工作得到突破。科学研判“十五五”时期针对自治区基础测绘、人才队伍建设、国土空间规划、生态保护修复等方面面临的困难问题和薄弱环节，深入研究并形成规划文本，指导未来五年自然资源管理事业改革和发展。</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落实自然资源督察工作计划，对权限内的自然资源违法案件进行全面调查核实，根据自然资源厅的安排，积极开展案件查办督导、专项工作检查验收和业务指导，确保工作有序推进和高效完成。</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协助自然资源厅法规处处理行政复议、行政应诉有关案件。对行政机关行政管理进行监</w:t>
      </w:r>
      <w:r>
        <w:rPr>
          <w:rStyle w:val="a8"/>
          <w:rFonts w:ascii="楷体" w:eastAsia="楷体" w:hAnsi="楷体" w:hint="eastAsia"/>
          <w:spacing w:val="-4"/>
          <w:sz w:val="32"/>
          <w:szCs w:val="32"/>
        </w:rPr>
        <w:t>督化解行政争议，畅通救济渠道，以书面审查为主，实地调研为辅，配合下发行政复议决定、准备应诉材料，邀请法律顾问、有关专家对重大疑难案件进行分析研究，提出意见建议，从而进一步提升行政决定水平。</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为有效传播法律知识，弘扬社会主义法治精神，制作法治宣传微动漫、编制自然资源法律文件汇编以及法律法规宣传手册。进一步提升</w:t>
      </w:r>
      <w:r>
        <w:rPr>
          <w:rStyle w:val="a8"/>
          <w:rFonts w:ascii="楷体" w:eastAsia="楷体" w:hAnsi="楷体" w:hint="eastAsia"/>
          <w:spacing w:val="-4"/>
          <w:sz w:val="32"/>
          <w:szCs w:val="32"/>
        </w:rPr>
        <w:lastRenderedPageBreak/>
        <w:t>公众的法治意识和法律素养，也为方便全区自然资源系统干部职工查阅、学习、工作。</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根据自治区人民政府关于做好第二轮中央生态环境保护督察反馈整改涉及自然资源领域相关督导、检查、验收等专项工作，推动环保制度的</w:t>
      </w:r>
      <w:r>
        <w:rPr>
          <w:rStyle w:val="a8"/>
          <w:rFonts w:ascii="楷体" w:eastAsia="楷体" w:hAnsi="楷体" w:hint="eastAsia"/>
          <w:spacing w:val="-4"/>
          <w:sz w:val="32"/>
          <w:szCs w:val="32"/>
        </w:rPr>
        <w:t>完善和创新，促进经济高质量发展，增强公众环保意识，是推动生态文明建设和环境保护的重要手段。</w:t>
      </w:r>
    </w:p>
    <w:p w:rsidR="00A71ECE" w:rsidRDefault="002F445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A71ECE" w:rsidRDefault="002F445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全面深入地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绩效评价对</w:t>
      </w:r>
      <w:r>
        <w:rPr>
          <w:rStyle w:val="a8"/>
          <w:rFonts w:ascii="楷体" w:eastAsia="楷体" w:hAnsi="楷体" w:hint="eastAsia"/>
          <w:spacing w:val="-4"/>
          <w:sz w:val="32"/>
          <w:szCs w:val="32"/>
        </w:rPr>
        <w:t>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本次绩效评价活动严格遵循财政部发布的《项目支出绩效评价管理办法》（财预〔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号）以及自治区财政厅颁布的《自治区财政支出绩效评价管理暂行办法》（新财预〔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本次评价范围涵盖项目总体绩效目标、各项绩效指标完成情况以及预算执行</w:t>
      </w:r>
      <w:r>
        <w:rPr>
          <w:rStyle w:val="a8"/>
          <w:rFonts w:ascii="楷体" w:eastAsia="楷体" w:hAnsi="楷体" w:hint="eastAsia"/>
          <w:spacing w:val="-4"/>
          <w:sz w:val="32"/>
          <w:szCs w:val="32"/>
        </w:rPr>
        <w:t>情况。覆盖项目预算资金支出的所有内容进行评价。包括项目决策、项目实施和项目成果验收流程等。</w:t>
      </w:r>
    </w:p>
    <w:p w:rsidR="00A71ECE" w:rsidRDefault="002F445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工作坚持定量优先、定量与定性相结合的方式，始终遵循科学规范、公正公开、分级分类、绩效相关的基本原则。通过对“自然资源督察事务中心执法办案补充经费”项目资金进行绩效评价，我们旨在深入解项目资金的使用情况和项目管理的现状、取得的成绩以及产生的效益。通过这一过程，能够分析在政策执行、预算资金安排、项目实施等方面存在的问题，并据此</w:t>
      </w:r>
      <w:r>
        <w:rPr>
          <w:rStyle w:val="a8"/>
          <w:rFonts w:ascii="楷体" w:eastAsia="楷体" w:hAnsi="楷体" w:hint="eastAsia"/>
          <w:spacing w:val="-4"/>
          <w:sz w:val="32"/>
          <w:szCs w:val="32"/>
        </w:rPr>
        <w:t>提出具有针对性的建议。本次绩效评价所遵循的原则包括：</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）科学公正。我们致力于运用科学合理的方法，按照规范的程序，对项目绩效进行客观、公正的反映。这要求我们在评价过程中，必须坚持科学的态度和方法，确保评价结果的真实性和准确性。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以确保评价的独立性和客观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）激励约束。绩效评价结果应与预算安排、政策调整、</w:t>
      </w:r>
      <w:r>
        <w:rPr>
          <w:rStyle w:val="a8"/>
          <w:rFonts w:ascii="楷体" w:eastAsia="楷体" w:hAnsi="楷体" w:hint="eastAsia"/>
          <w:spacing w:val="-4"/>
          <w:sz w:val="32"/>
          <w:szCs w:val="32"/>
        </w:rPr>
        <w:t>改进管理实质性挂钩，体现奖优罚劣和激励相容导向，有效要安排、</w:t>
      </w:r>
      <w:r>
        <w:rPr>
          <w:rStyle w:val="a8"/>
          <w:rFonts w:ascii="楷体" w:eastAsia="楷体" w:hAnsi="楷体" w:hint="eastAsia"/>
          <w:spacing w:val="-4"/>
          <w:sz w:val="32"/>
          <w:szCs w:val="32"/>
        </w:rPr>
        <w:lastRenderedPageBreak/>
        <w:t>低效要压减、无效要问责。这将有助于激发项目单位的积极性，提高资金使用效率，确保项目目标的实现。</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4</w:t>
      </w:r>
      <w:r>
        <w:rPr>
          <w:rStyle w:val="a8"/>
          <w:rFonts w:ascii="楷体" w:eastAsia="楷体" w:hAnsi="楷体" w:hint="eastAsia"/>
          <w:spacing w:val="-4"/>
          <w:sz w:val="32"/>
          <w:szCs w:val="32"/>
        </w:rPr>
        <w:t>）公开透明。绩效评价结果应依法依规公开，并自觉接受社会监督。这不仅有助于增强评价工作的透明度，也有利于提升公众对政府工作的信任度，同时为社会公众提供参与监督的渠道。</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绩效评价指标体系是根据《预算绩效评价共性指标体系框架》（财预〔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号）等文件精神，结合专项特点，在与专家组、项目充分协商的基础上，评价工作组细化该项目的绩效评价指标体系：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该指标体系的一级指标包括：决策、过程、产出、效益。这些一级指标是绩效评价的核心，它们涵盖项目从立项到实施，再到产出和效益的全过程。</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则进一步细化为：项目立项、绩效目标、资金投入、资金管理、组织实施、产出数量、产出质量、产出时效、产出成本、项目效益。这些指标从不同的角度对项目进行评价，确保项目的各个方面都得到充分的考虑和</w:t>
      </w:r>
      <w:r>
        <w:rPr>
          <w:rStyle w:val="a8"/>
          <w:rFonts w:ascii="楷体" w:eastAsia="楷体" w:hAnsi="楷体" w:hint="eastAsia"/>
          <w:spacing w:val="-4"/>
          <w:sz w:val="32"/>
          <w:szCs w:val="32"/>
        </w:rPr>
        <w:t>评估。</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则更加具体，包括：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w:t>
      </w:r>
      <w:r>
        <w:rPr>
          <w:rStyle w:val="a8"/>
          <w:rFonts w:ascii="楷体" w:eastAsia="楷体" w:hAnsi="楷体" w:hint="eastAsia"/>
          <w:spacing w:val="-4"/>
          <w:sz w:val="32"/>
          <w:szCs w:val="32"/>
        </w:rPr>
        <w:lastRenderedPageBreak/>
        <w:t>服务对象满意度。这些指标从细节上对项目的各个方面进行评价，确保项目的每一个环节都符合预期的目标和要求。</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在本次绩效评价过程中，我们坚持简便而有效的原则，选用多种评价方法，以确保评价结果的全面性和准确性。这些方法涵</w:t>
      </w:r>
      <w:r>
        <w:rPr>
          <w:rStyle w:val="a8"/>
          <w:rFonts w:ascii="楷体" w:eastAsia="楷体" w:hAnsi="楷体" w:hint="eastAsia"/>
          <w:spacing w:val="-4"/>
          <w:sz w:val="32"/>
          <w:szCs w:val="32"/>
        </w:rPr>
        <w:t>盖成本效益分析法、比较法、综合指数评价法及公众评判法等，具体评价手段阐述如下：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）成本效益分析法：这一方法的核心在于将一定时期内项目的总成本与总效益进行对比分析。该分析能够量化评估绩效目标的实现程度，为决策提供坚实的数据支撑。</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比较法：通过系统地整理和分析本项目相关的资料和数据，我们可以评价数量指标的完成情况。此外，通过深入分析项目的实施情况与绩效目标的实现情况，我们可以对项目实施的效果进行评价。此外，我们将分析项目资金的使用成效，以此评估预算分配的合理性，保障资金高效运用。</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）综合指数评价法</w:t>
      </w:r>
      <w:r>
        <w:rPr>
          <w:rStyle w:val="a8"/>
          <w:rFonts w:ascii="楷体" w:eastAsia="楷体" w:hAnsi="楷体" w:hint="eastAsia"/>
          <w:spacing w:val="-4"/>
          <w:sz w:val="32"/>
          <w:szCs w:val="32"/>
        </w:rPr>
        <w:t>：这种方法涉及将各项绩效指标的实际水平与既定的评价标准值进行对照。通过分别计算各项指标的评价得分，并按照设定的各项指标权数计算出综合评价得分，我们可以对绩效目标实现情况进行深入分析和评价。</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A71ECE" w:rsidRDefault="002F445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（三）绩效评价工作过程。</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本次评价成立了评价工作小组，成员如下：田鹏才，蔡志光，冉远远，孜巴，娜菲莎。</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本次评价设计了评价方案、评价指标体系，通过资料分析、调研、访谈满意度调查等方式形成评价结论，在与各科室沟通后确定评价意见，并出具评价报告。</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r>
      <w:r>
        <w:rPr>
          <w:rStyle w:val="a8"/>
          <w:rFonts w:ascii="楷体" w:eastAsia="楷体" w:hAnsi="楷体" w:hint="eastAsia"/>
          <w:spacing w:val="-4"/>
          <w:sz w:val="32"/>
          <w:szCs w:val="32"/>
        </w:rPr>
        <w:t>认真学习相关要求与规定，成立绩效评价工作组，作为绩效评价工作具体实施机构。成员构成如下：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田鹏才任评价小组组长，中心党支部书记，绩效评价工作职责为负责全盘工作；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蔡志光任评价小组副组长，绩效评价工作职责为对项目实施情况进行调查；</w:t>
      </w:r>
      <w:r>
        <w:rPr>
          <w:rStyle w:val="a8"/>
          <w:rFonts w:ascii="楷体" w:eastAsia="楷体" w:hAnsi="楷体" w:hint="eastAsia"/>
          <w:spacing w:val="-4"/>
          <w:sz w:val="32"/>
          <w:szCs w:val="32"/>
        </w:rPr>
        <w:br/>
      </w:r>
      <w:r>
        <w:rPr>
          <w:rStyle w:val="a8"/>
          <w:rFonts w:ascii="楷体" w:eastAsia="楷体" w:hAnsi="楷体" w:hint="eastAsia"/>
          <w:spacing w:val="-4"/>
          <w:sz w:val="32"/>
          <w:szCs w:val="32"/>
        </w:rPr>
        <w:t>冉远远，孜巴，娜菲莎任评价小组成员，绩效评价工作职</w:t>
      </w:r>
      <w:r>
        <w:rPr>
          <w:rStyle w:val="a8"/>
          <w:rFonts w:ascii="楷体" w:eastAsia="楷体" w:hAnsi="楷体" w:hint="eastAsia"/>
          <w:spacing w:val="-4"/>
          <w:sz w:val="32"/>
          <w:szCs w:val="32"/>
        </w:rPr>
        <w:t>责为负责资料审核等工作，作为评价小组成员，负责资料审核等相关工作。</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月期间，经评价小组通过实地调研等方式，采用综合分析法对项目的决策、管理、绩效进行的综合评价分析。</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月期间，首先按照指标体系进行定量、定性分析。其次开展量化打分、综合评价工作，形成初步评价结论。最后归纳整体项目情况与存在问题，撰写部门绩效评价报告。</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月下旬起撰写项目绩效评价报告，按照财绩效系统要</w:t>
      </w:r>
      <w:r>
        <w:rPr>
          <w:rStyle w:val="a8"/>
          <w:rFonts w:ascii="楷体" w:eastAsia="楷体" w:hAnsi="楷体" w:hint="eastAsia"/>
          <w:spacing w:val="-4"/>
          <w:sz w:val="32"/>
          <w:szCs w:val="32"/>
        </w:rPr>
        <w:lastRenderedPageBreak/>
        <w:t>求撰写绩效评价报告。</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归集档案</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w:t>
      </w:r>
      <w:r>
        <w:rPr>
          <w:rStyle w:val="a8"/>
          <w:rFonts w:ascii="楷体" w:eastAsia="楷体" w:hAnsi="楷体" w:hint="eastAsia"/>
          <w:spacing w:val="-4"/>
          <w:sz w:val="32"/>
          <w:szCs w:val="32"/>
        </w:rPr>
        <w:t>案管理制度，将项目相关资料存档，评价项目基本情况和相关文件、评价实施方案、项目支付资料等相关档案材料。</w:t>
      </w:r>
    </w:p>
    <w:p w:rsidR="00A71ECE" w:rsidRDefault="002F445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依据《项目支出绩效评价管理办法》财预〔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文件精神，评价工作组从绩效目标、绩效控制、产出及效果进行评价分析。绩效目标分析涵盖明确性、合理性和细化程度；绩效控制则关注资金使用管理、项目组织及实施情况；项目产出及效果评价侧重于经济性、效率性和效益性。本次绩效评价采用评分与评级结合，分值和等级依据评价内容灵活设定。总分一般设置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分，其中产出指标</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分，效益指标</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分，满意度指标</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分。评价结果分为优、良、中、差四个等级：优（</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分（含）—</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评价组对照项目绩效评价指标体系，从决策、过程、产出和效益四个维度，通过数据采集、实地调研和问卷访谈等方式，对“自然资源督察事务中心执法办案补充经费”项目绩效进行客观公正的评价，本项目总得分为</w:t>
      </w:r>
      <w:r>
        <w:rPr>
          <w:rStyle w:val="a8"/>
          <w:rFonts w:ascii="楷体" w:eastAsia="楷体" w:hAnsi="楷体" w:hint="eastAsia"/>
          <w:spacing w:val="-4"/>
          <w:sz w:val="32"/>
          <w:szCs w:val="32"/>
        </w:rPr>
        <w:t>96.27</w:t>
      </w:r>
      <w:r>
        <w:rPr>
          <w:rStyle w:val="a8"/>
          <w:rFonts w:ascii="楷体" w:eastAsia="楷体" w:hAnsi="楷体" w:hint="eastAsia"/>
          <w:spacing w:val="-4"/>
          <w:sz w:val="32"/>
          <w:szCs w:val="32"/>
        </w:rPr>
        <w:t>分，绩效评级属于“优”。其中，决策类指标得分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分，过程类指标得分</w:t>
      </w:r>
      <w:r>
        <w:rPr>
          <w:rStyle w:val="a8"/>
          <w:rFonts w:ascii="楷体" w:eastAsia="楷体" w:hAnsi="楷体" w:hint="eastAsia"/>
          <w:spacing w:val="-4"/>
          <w:sz w:val="32"/>
          <w:szCs w:val="32"/>
        </w:rPr>
        <w:t>19.79</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36.48</w:t>
      </w:r>
      <w:r>
        <w:rPr>
          <w:rStyle w:val="a8"/>
          <w:rFonts w:ascii="楷体" w:eastAsia="楷体" w:hAnsi="楷体" w:hint="eastAsia"/>
          <w:spacing w:val="-4"/>
          <w:sz w:val="32"/>
          <w:szCs w:val="32"/>
        </w:rPr>
        <w:t>分，效益类指标得分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经评价本项目达到了年初设立的绩效目标，在实施过程中取得</w:t>
      </w:r>
      <w:r>
        <w:rPr>
          <w:rStyle w:val="a8"/>
          <w:rFonts w:ascii="楷体" w:eastAsia="楷体" w:hAnsi="楷体" w:hint="eastAsia"/>
          <w:spacing w:val="-4"/>
          <w:sz w:val="32"/>
          <w:szCs w:val="32"/>
        </w:rPr>
        <w:lastRenderedPageBreak/>
        <w:t>了良好的成效，具体表现在：该项目已完成法制宣传资料印刷并发放，法治宣传对象满意度达</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；完成立法后评估项目</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个；有序开展执法和法治建设调研工作；开展环保督察检查验收工作，环保督察实地督导覆盖率达</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；完成</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个“十五五”规划编制；完成自然资源领域督察反馈问题整改情况督导工作；完成全年卫片执法实地督导检查工作，卫片执法实地督导检查覆盖率达</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。项目实施有效推动了自然资源和生态环境领域法治建设走深走实，进一步规范了行政执法行为，提升了</w:t>
      </w:r>
      <w:r>
        <w:rPr>
          <w:rStyle w:val="a8"/>
          <w:rFonts w:ascii="楷体" w:eastAsia="楷体" w:hAnsi="楷体" w:hint="eastAsia"/>
          <w:spacing w:val="-4"/>
          <w:sz w:val="32"/>
          <w:szCs w:val="32"/>
        </w:rPr>
        <w:t>干部职工和社会公众法治意识；有力促进了环保督察、卫片执法、问题整改等重点工作落地见效，保障了“十五五”规划等重大工作有序推进，切实提高了自然资源督察工作质效。通过项目实施，产生了良好的法治效益、管理效益和社会效益，为辖区自然资源保护利用、生态环境持续改善、督察工作规范化运行提供了坚实支撑，有效提升了管理服务水平和群众满意度。</w:t>
      </w:r>
    </w:p>
    <w:p w:rsidR="00A71ECE" w:rsidRDefault="002F445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A71ECE" w:rsidRDefault="002F445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w:t>
      </w:r>
      <w:r>
        <w:rPr>
          <w:rStyle w:val="a8"/>
          <w:rFonts w:ascii="楷体" w:eastAsia="楷体" w:hAnsi="楷体" w:hint="eastAsia"/>
          <w:spacing w:val="-4"/>
          <w:sz w:val="32"/>
          <w:szCs w:val="32"/>
        </w:rPr>
        <w:t>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）立项依据充分性：《关于批复自治区本级</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年部门预算的通知》（新财预</w:t>
      </w:r>
      <w:r>
        <w:rPr>
          <w:rStyle w:val="a8"/>
          <w:rFonts w:ascii="楷体" w:eastAsia="楷体" w:hAnsi="楷体" w:hint="eastAsia"/>
          <w:spacing w:val="-4"/>
          <w:sz w:val="32"/>
          <w:szCs w:val="32"/>
        </w:rPr>
        <w:t>[2026]1</w:t>
      </w:r>
      <w:r>
        <w:rPr>
          <w:rStyle w:val="a8"/>
          <w:rFonts w:ascii="楷体" w:eastAsia="楷体" w:hAnsi="楷体" w:hint="eastAsia"/>
          <w:spacing w:val="-4"/>
          <w:sz w:val="32"/>
          <w:szCs w:val="32"/>
        </w:rPr>
        <w:t>号）并结合自治区自然资源督察事务中心职责组织实施。围绕自治区自然资源督察事务中心年度工作重点和工作计划制定经费预算，根据评分标准，该指标不扣</w:t>
      </w:r>
      <w:r>
        <w:rPr>
          <w:rStyle w:val="a8"/>
          <w:rFonts w:ascii="楷体" w:eastAsia="楷体" w:hAnsi="楷体" w:hint="eastAsia"/>
          <w:spacing w:val="-4"/>
          <w:sz w:val="32"/>
          <w:szCs w:val="32"/>
        </w:rPr>
        <w:lastRenderedPageBreak/>
        <w:t>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项目申请、设立过程符合相关要求，严格按照审批流程准备符合要求的文件、材料；根据编制工作计划和项目预算，经过与部门项目分管领导沟通、筛选确定经费预算计划，确定最终预算方案。项目的审批文件、材料符合相关要求，项目事</w:t>
      </w:r>
      <w:r>
        <w:rPr>
          <w:rStyle w:val="a8"/>
          <w:rFonts w:ascii="楷体" w:eastAsia="楷体" w:hAnsi="楷体" w:hint="eastAsia"/>
          <w:spacing w:val="-4"/>
          <w:sz w:val="32"/>
          <w:szCs w:val="32"/>
        </w:rPr>
        <w:t>前经过必要的论证、风险评估、绩效评估、集体决策，保障了程序的规范性。根据评分标准，该指标不扣分，得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）绩效目标合理性：①该项目已设置年度绩效目标，具体内容：</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承担自治区职责权限内自然资源违法案件查处的相关工作，依法组织和实施自治区重大以及跨地州、跨区域、跨兵地土地、矿产、国土空间规划、测绘等违法案件的调查、取证等工作，确保执法工作得到突破。科学研判“十五五”时期针对自治区基础测绘、人才队伍建设、国土空间规划、生态保护修复等方面面临的困难问题和薄弱环节，深入研究并形成规划文本，</w:t>
      </w:r>
      <w:r>
        <w:rPr>
          <w:rStyle w:val="a8"/>
          <w:rFonts w:ascii="楷体" w:eastAsia="楷体" w:hAnsi="楷体" w:hint="eastAsia"/>
          <w:spacing w:val="-4"/>
          <w:sz w:val="32"/>
          <w:szCs w:val="32"/>
        </w:rPr>
        <w:t>指导未来五年自然资源管理事业改革和发展。</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落实自然资源督察工作计划，对权限内的自然资源违法案件进行全面调查核实，根据自然资源厅的安排，积极开展案件查办督导、专项工作检查验收和业务指导，确保工作有序推进和高效完成。</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协助自然资源厅法规处处理行政复议、行政应诉有关案件。对行政机关行政管理进行监督化解行政争议，畅通救济渠道，以书面审查为主，实地调研为辅，配合下发行政复议决定、准备应诉材料，邀请法律顾问、有关专家对重大疑难案件进行分析研究，提出意见建议，从而进一步提升行政决定水平。</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为</w:t>
      </w:r>
      <w:r>
        <w:rPr>
          <w:rStyle w:val="a8"/>
          <w:rFonts w:ascii="楷体" w:eastAsia="楷体" w:hAnsi="楷体" w:hint="eastAsia"/>
          <w:spacing w:val="-4"/>
          <w:sz w:val="32"/>
          <w:szCs w:val="32"/>
        </w:rPr>
        <w:lastRenderedPageBreak/>
        <w:t>有效传播法律知识，弘扬社</w:t>
      </w:r>
      <w:r>
        <w:rPr>
          <w:rStyle w:val="a8"/>
          <w:rFonts w:ascii="楷体" w:eastAsia="楷体" w:hAnsi="楷体" w:hint="eastAsia"/>
          <w:spacing w:val="-4"/>
          <w:sz w:val="32"/>
          <w:szCs w:val="32"/>
        </w:rPr>
        <w:t>会主义法治精神，制作法治宣传微动漫、编制自然资源法律文件汇编以及法律法规宣传手册。进一步提升公众的法治意识和法律素养，也为方便全区自然资源系统干部职工查阅、学习、工作。</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根据自治区人民政府关于做好第二轮中央生态环境保护督察反馈整改涉及自然资源领域相关督导、检查、验收等专项工作，推动环保制度的完善和创新，促进经济高质量发展，增强公众环保意识，是推动生态文明建设和环境保护的重要手段。</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承担自治区职责权限内自然资源违法案件查处的相关工作，依法组织和实施自治区重大以及跨地州、跨区域、跨</w:t>
      </w:r>
      <w:r>
        <w:rPr>
          <w:rStyle w:val="a8"/>
          <w:rFonts w:ascii="楷体" w:eastAsia="楷体" w:hAnsi="楷体" w:hint="eastAsia"/>
          <w:spacing w:val="-4"/>
          <w:sz w:val="32"/>
          <w:szCs w:val="32"/>
        </w:rPr>
        <w:t>兵地土地、矿产、国土空间规划、测绘等违法案件的调查、取证等工作，确保执法工作得到突破。科学研判“十五五”时期针对自治区基础测绘、人才队伍建设、国土空间规划、生态保护修复等方面面临的困难问题和薄弱环节，深入研究并形成规划文本，指导未来五年自然资源管理事业改革和发展。</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落实自然资源督察工作计划，对权限内的自然资源违法案件进行全面调查核实，根据自然资源厅的安排，积极开展案件查办督导、专项工作检查验收和业务指导，确保工作有序推进和高效完成。</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协助自然资源厅法规处处理行政复议、行政应诉有关案件。对行政机关行政管理</w:t>
      </w:r>
      <w:r>
        <w:rPr>
          <w:rStyle w:val="a8"/>
          <w:rFonts w:ascii="楷体" w:eastAsia="楷体" w:hAnsi="楷体" w:hint="eastAsia"/>
          <w:spacing w:val="-4"/>
          <w:sz w:val="32"/>
          <w:szCs w:val="32"/>
        </w:rPr>
        <w:t>进行监督化解行政争议，畅通救济渠道，以书面审查为主，实地调研为辅，配合下发行政复议决定、准备应诉材料，邀请法律顾问、有关专家对重大疑难案件进行分析研究，提出意见建议，从而进一步提升行政决定水平。</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为有效传播法律知识，弘扬社会主义法治精神，制作法治宣传微动漫、编制自然资源法律文件汇编以及法</w:t>
      </w:r>
      <w:r>
        <w:rPr>
          <w:rStyle w:val="a8"/>
          <w:rFonts w:ascii="楷体" w:eastAsia="楷体" w:hAnsi="楷体" w:hint="eastAsia"/>
          <w:spacing w:val="-4"/>
          <w:sz w:val="32"/>
          <w:szCs w:val="32"/>
        </w:rPr>
        <w:lastRenderedPageBreak/>
        <w:t>律法规宣传手册。进一步提升公众的法治意识和法律素养，也为方便全区自然资源系统干部职工查阅、学习、工作。</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根据自治区人民政府关于做好第二轮中央生态环境保护督察反馈整改涉及自然资源领域相关督导、检查、验收等专项工作，推动环保</w:t>
      </w:r>
      <w:r>
        <w:rPr>
          <w:rStyle w:val="a8"/>
          <w:rFonts w:ascii="楷体" w:eastAsia="楷体" w:hAnsi="楷体" w:hint="eastAsia"/>
          <w:spacing w:val="-4"/>
          <w:sz w:val="32"/>
          <w:szCs w:val="32"/>
        </w:rPr>
        <w:t>制度的完善和创新，促进经济高质量发展，增强公众环保意识，是推动生态文明建设和环境保护的重要手段。</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指标、质量指标、时效指标、成本指标，完成了执法办案实地核查、违法案件统计分析、环保督察工作及检查验收、制定“十五五”规划编制、制作法治动画作品、执法和法治建设调研、编制法律汇编及立法后评估工作，达到效益，预期产出效益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④该项目批复的预算金额为</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w:t>
      </w:r>
      <w:r>
        <w:rPr>
          <w:rStyle w:val="a8"/>
          <w:rFonts w:ascii="楷体" w:eastAsia="楷体" w:hAnsi="楷体" w:hint="eastAsia"/>
          <w:spacing w:val="-4"/>
          <w:sz w:val="32"/>
          <w:szCs w:val="32"/>
        </w:rPr>
        <w:t>位制定了实施方案，明确了总体思路及目标、并对任务进行了详细分解，对目标进行了细化。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3</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16</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个，定性指标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93.75%</w:t>
      </w:r>
      <w:r>
        <w:rPr>
          <w:rStyle w:val="a8"/>
          <w:rFonts w:ascii="楷体" w:eastAsia="楷体" w:hAnsi="楷体" w:hint="eastAsia"/>
          <w:spacing w:val="-4"/>
          <w:sz w:val="32"/>
          <w:szCs w:val="32"/>
        </w:rPr>
        <w:t>，量化率达</w:t>
      </w:r>
      <w:r>
        <w:rPr>
          <w:rStyle w:val="a8"/>
          <w:rFonts w:ascii="楷体" w:eastAsia="楷体" w:hAnsi="楷体" w:hint="eastAsia"/>
          <w:spacing w:val="-4"/>
          <w:sz w:val="32"/>
          <w:szCs w:val="32"/>
        </w:rPr>
        <w:t>70.0%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该《项目绩效目标申报表》中，数量指标指标值为“执法办案实地核查人次”、“违法案件统计分析”、“自然资源领域督察反馈问题整改情况督导</w:t>
      </w:r>
      <w:r>
        <w:rPr>
          <w:rStyle w:val="a8"/>
          <w:rFonts w:ascii="楷体" w:eastAsia="楷体" w:hAnsi="楷体" w:hint="eastAsia"/>
          <w:spacing w:val="-4"/>
          <w:sz w:val="32"/>
          <w:szCs w:val="32"/>
        </w:rPr>
        <w:t>工作次数”、“全年卫片执法实地督导检查</w:t>
      </w:r>
      <w:r>
        <w:rPr>
          <w:rStyle w:val="a8"/>
          <w:rFonts w:ascii="楷体" w:eastAsia="楷体" w:hAnsi="楷体" w:hint="eastAsia"/>
          <w:spacing w:val="-4"/>
          <w:sz w:val="32"/>
          <w:szCs w:val="32"/>
        </w:rPr>
        <w:lastRenderedPageBreak/>
        <w:t>次数”、“开展执法和法治建设调研次数”、“法治动画作品”、“环保督察检查验收次数”、“法律汇编双语册数”、““十五五”规划编制数”、“统计“私搭乱建”等问题专项整治案件数”、“立法后评估项目个数”，三级指标的年度指标值与年度绩效目标中任务数一致，没有设置时效指标。已设置的绩效目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）预算编制科学性：本项目预算申请资金</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万元，我单位在预算申请中严格按照项目</w:t>
      </w:r>
      <w:r>
        <w:rPr>
          <w:rStyle w:val="a8"/>
          <w:rFonts w:ascii="楷体" w:eastAsia="楷体" w:hAnsi="楷体" w:hint="eastAsia"/>
          <w:spacing w:val="-4"/>
          <w:sz w:val="32"/>
          <w:szCs w:val="32"/>
        </w:rPr>
        <w:t>实施内容及测算标准进行核算，其中：公务用车运行维护费费用</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万元、委托业务费费用</w:t>
      </w:r>
      <w:r>
        <w:rPr>
          <w:rStyle w:val="a8"/>
          <w:rFonts w:ascii="楷体" w:eastAsia="楷体" w:hAnsi="楷体" w:hint="eastAsia"/>
          <w:spacing w:val="-4"/>
          <w:sz w:val="32"/>
          <w:szCs w:val="32"/>
        </w:rPr>
        <w:t>415</w:t>
      </w:r>
      <w:r>
        <w:rPr>
          <w:rStyle w:val="a8"/>
          <w:rFonts w:ascii="楷体" w:eastAsia="楷体" w:hAnsi="楷体" w:hint="eastAsia"/>
          <w:spacing w:val="-4"/>
          <w:sz w:val="32"/>
          <w:szCs w:val="32"/>
        </w:rPr>
        <w:t>万元、其他交通费用费用</w:t>
      </w:r>
      <w:r>
        <w:rPr>
          <w:rStyle w:val="a8"/>
          <w:rFonts w:ascii="楷体" w:eastAsia="楷体" w:hAnsi="楷体" w:hint="eastAsia"/>
          <w:spacing w:val="-4"/>
          <w:sz w:val="32"/>
          <w:szCs w:val="32"/>
        </w:rPr>
        <w:t>46</w:t>
      </w:r>
      <w:r>
        <w:rPr>
          <w:rStyle w:val="a8"/>
          <w:rFonts w:ascii="楷体" w:eastAsia="楷体" w:hAnsi="楷体" w:hint="eastAsia"/>
          <w:spacing w:val="-4"/>
          <w:sz w:val="32"/>
          <w:szCs w:val="32"/>
        </w:rPr>
        <w:t>万元、物业管理费及房屋租赁费用</w:t>
      </w:r>
      <w:r>
        <w:rPr>
          <w:rStyle w:val="a8"/>
          <w:rFonts w:ascii="楷体" w:eastAsia="楷体" w:hAnsi="楷体" w:hint="eastAsia"/>
          <w:spacing w:val="-4"/>
          <w:sz w:val="32"/>
          <w:szCs w:val="32"/>
        </w:rPr>
        <w:t>177.95</w:t>
      </w:r>
      <w:r>
        <w:rPr>
          <w:rStyle w:val="a8"/>
          <w:rFonts w:ascii="楷体" w:eastAsia="楷体" w:hAnsi="楷体" w:hint="eastAsia"/>
          <w:spacing w:val="-4"/>
          <w:sz w:val="32"/>
          <w:szCs w:val="32"/>
        </w:rPr>
        <w:t>万元、印刷费用</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万元、办公费用</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万元、维修（护）费用</w:t>
      </w:r>
      <w:r>
        <w:rPr>
          <w:rStyle w:val="a8"/>
          <w:rFonts w:ascii="楷体" w:eastAsia="楷体" w:hAnsi="楷体" w:hint="eastAsia"/>
          <w:spacing w:val="-4"/>
          <w:sz w:val="32"/>
          <w:szCs w:val="32"/>
        </w:rPr>
        <w:t>27.6</w:t>
      </w:r>
      <w:r>
        <w:rPr>
          <w:rStyle w:val="a8"/>
          <w:rFonts w:ascii="楷体" w:eastAsia="楷体" w:hAnsi="楷体" w:hint="eastAsia"/>
          <w:spacing w:val="-4"/>
          <w:sz w:val="32"/>
          <w:szCs w:val="32"/>
        </w:rPr>
        <w:t>万元、劳务费用</w:t>
      </w:r>
      <w:r>
        <w:rPr>
          <w:rStyle w:val="a8"/>
          <w:rFonts w:ascii="楷体" w:eastAsia="楷体" w:hAnsi="楷体" w:hint="eastAsia"/>
          <w:spacing w:val="-4"/>
          <w:sz w:val="32"/>
          <w:szCs w:val="32"/>
        </w:rPr>
        <w:t>18</w:t>
      </w:r>
      <w:r>
        <w:rPr>
          <w:rStyle w:val="a8"/>
          <w:rFonts w:ascii="楷体" w:eastAsia="楷体" w:hAnsi="楷体" w:hint="eastAsia"/>
          <w:spacing w:val="-4"/>
          <w:sz w:val="32"/>
          <w:szCs w:val="32"/>
        </w:rPr>
        <w:t>万元、差旅费用</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万元、邮电费用</w:t>
      </w:r>
      <w:r>
        <w:rPr>
          <w:rStyle w:val="a8"/>
          <w:rFonts w:ascii="楷体" w:eastAsia="楷体" w:hAnsi="楷体" w:hint="eastAsia"/>
          <w:spacing w:val="-4"/>
          <w:sz w:val="32"/>
          <w:szCs w:val="32"/>
        </w:rPr>
        <w:t>15.52</w:t>
      </w:r>
      <w:r>
        <w:rPr>
          <w:rStyle w:val="a8"/>
          <w:rFonts w:ascii="楷体" w:eastAsia="楷体" w:hAnsi="楷体" w:hint="eastAsia"/>
          <w:spacing w:val="-4"/>
          <w:sz w:val="32"/>
          <w:szCs w:val="32"/>
        </w:rPr>
        <w:t>万元、其他商品和服务支出费用</w:t>
      </w:r>
      <w:r>
        <w:rPr>
          <w:rStyle w:val="a8"/>
          <w:rFonts w:ascii="楷体" w:eastAsia="楷体" w:hAnsi="楷体" w:hint="eastAsia"/>
          <w:spacing w:val="-4"/>
          <w:sz w:val="32"/>
          <w:szCs w:val="32"/>
        </w:rPr>
        <w:t>180</w:t>
      </w:r>
      <w:r>
        <w:rPr>
          <w:rStyle w:val="a8"/>
          <w:rFonts w:ascii="楷体" w:eastAsia="楷体" w:hAnsi="楷体" w:hint="eastAsia"/>
          <w:spacing w:val="-4"/>
          <w:sz w:val="32"/>
          <w:szCs w:val="32"/>
        </w:rPr>
        <w:t>万元、其他工资福利支出费用</w:t>
      </w:r>
      <w:r>
        <w:rPr>
          <w:rStyle w:val="a8"/>
          <w:rFonts w:ascii="楷体" w:eastAsia="楷体" w:hAnsi="楷体" w:hint="eastAsia"/>
          <w:spacing w:val="-4"/>
          <w:sz w:val="32"/>
          <w:szCs w:val="32"/>
        </w:rPr>
        <w:t>11.93</w:t>
      </w:r>
      <w:r>
        <w:rPr>
          <w:rStyle w:val="a8"/>
          <w:rFonts w:ascii="楷体" w:eastAsia="楷体" w:hAnsi="楷体" w:hint="eastAsia"/>
          <w:spacing w:val="-4"/>
          <w:sz w:val="32"/>
          <w:szCs w:val="32"/>
        </w:rPr>
        <w:t>万元。预算确定资金量与实际工作任务相匹配。本项目预算额度测算依据充分，严格按照标准编制，预算确定资金量与实际工作任务相匹配。根据评分标准，该指标不扣分，得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）资金分配合理性：资金分配按照《关于批复自治区本级</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年部门预算的通知》（新财预</w:t>
      </w:r>
      <w:r>
        <w:rPr>
          <w:rStyle w:val="a8"/>
          <w:rFonts w:ascii="楷体" w:eastAsia="楷体" w:hAnsi="楷体" w:hint="eastAsia"/>
          <w:spacing w:val="-4"/>
          <w:sz w:val="32"/>
          <w:szCs w:val="32"/>
        </w:rPr>
        <w:t>[2026]1</w:t>
      </w:r>
      <w:r>
        <w:rPr>
          <w:rStyle w:val="a8"/>
          <w:rFonts w:ascii="楷体" w:eastAsia="楷体" w:hAnsi="楷体" w:hint="eastAsia"/>
          <w:spacing w:val="-4"/>
          <w:sz w:val="32"/>
          <w:szCs w:val="32"/>
        </w:rPr>
        <w:t>号）文件要求，</w:t>
      </w:r>
      <w:r>
        <w:rPr>
          <w:rStyle w:val="a8"/>
          <w:rFonts w:ascii="楷体" w:eastAsia="楷体" w:hAnsi="楷体" w:hint="eastAsia"/>
          <w:spacing w:val="-4"/>
          <w:sz w:val="32"/>
          <w:szCs w:val="32"/>
        </w:rPr>
        <w:t>41.1%</w:t>
      </w:r>
      <w:r>
        <w:rPr>
          <w:rStyle w:val="a8"/>
          <w:rFonts w:ascii="楷体" w:eastAsia="楷体" w:hAnsi="楷体" w:hint="eastAsia"/>
          <w:spacing w:val="-4"/>
          <w:sz w:val="32"/>
          <w:szCs w:val="32"/>
        </w:rPr>
        <w:t>用于委托业务事项、</w:t>
      </w:r>
      <w:r>
        <w:rPr>
          <w:rStyle w:val="a8"/>
          <w:rFonts w:ascii="楷体" w:eastAsia="楷体" w:hAnsi="楷体" w:hint="eastAsia"/>
          <w:spacing w:val="-4"/>
          <w:sz w:val="32"/>
          <w:szCs w:val="32"/>
        </w:rPr>
        <w:t>33.61%</w:t>
      </w:r>
      <w:r>
        <w:rPr>
          <w:rStyle w:val="a8"/>
          <w:rFonts w:ascii="楷体" w:eastAsia="楷体" w:hAnsi="楷体" w:hint="eastAsia"/>
          <w:spacing w:val="-4"/>
          <w:sz w:val="32"/>
          <w:szCs w:val="32"/>
        </w:rPr>
        <w:t>用于办公经费、</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用于其他费用、</w:t>
      </w:r>
      <w:r>
        <w:rPr>
          <w:rStyle w:val="a8"/>
          <w:rFonts w:ascii="楷体" w:eastAsia="楷体" w:hAnsi="楷体" w:hint="eastAsia"/>
          <w:spacing w:val="-4"/>
          <w:sz w:val="32"/>
          <w:szCs w:val="32"/>
        </w:rPr>
        <w:t>2.73%</w:t>
      </w:r>
      <w:r>
        <w:rPr>
          <w:rStyle w:val="a8"/>
          <w:rFonts w:ascii="楷体" w:eastAsia="楷体" w:hAnsi="楷体" w:hint="eastAsia"/>
          <w:spacing w:val="-4"/>
          <w:sz w:val="32"/>
          <w:szCs w:val="32"/>
        </w:rPr>
        <w:t>用于维修（护）费用支出、</w:t>
      </w:r>
      <w:r>
        <w:rPr>
          <w:rStyle w:val="a8"/>
          <w:rFonts w:ascii="楷体" w:eastAsia="楷体" w:hAnsi="楷体" w:hint="eastAsia"/>
          <w:spacing w:val="-4"/>
          <w:sz w:val="32"/>
          <w:szCs w:val="32"/>
        </w:rPr>
        <w:t>1.78%</w:t>
      </w:r>
      <w:r>
        <w:rPr>
          <w:rStyle w:val="a8"/>
          <w:rFonts w:ascii="楷体" w:eastAsia="楷体" w:hAnsi="楷体" w:hint="eastAsia"/>
          <w:spacing w:val="-4"/>
          <w:sz w:val="32"/>
          <w:szCs w:val="32"/>
        </w:rPr>
        <w:t>用于公务用车运行维护费，资金分配与实际相适应，根据评分标准，该指标不扣分，得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A71ECE" w:rsidRDefault="002F445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lastRenderedPageBreak/>
        <w:t>项目过程类指标包括资金管理和组织实施两方面的内容，由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19.79</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98.95%</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w:t>
      </w:r>
      <w:r>
        <w:rPr>
          <w:rStyle w:val="a8"/>
          <w:rFonts w:ascii="楷体" w:eastAsia="楷体" w:hAnsi="楷体" w:hint="eastAsia"/>
          <w:spacing w:val="-4"/>
          <w:sz w:val="32"/>
          <w:szCs w:val="32"/>
        </w:rPr>
        <w:t>项目总投资</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万元，自治区财政实际下达经费</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万元，其中当年财政拨款</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万元，上年结转资金</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万元，财政资金足额拨付到位，根据评分标准，该指标不扣分，得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1010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967.01</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95.74</w:t>
      </w:r>
      <w:r>
        <w:rPr>
          <w:rStyle w:val="a8"/>
          <w:rFonts w:ascii="楷体" w:eastAsia="楷体" w:hAnsi="楷体" w:hint="eastAsia"/>
          <w:spacing w:val="-4"/>
          <w:sz w:val="32"/>
          <w:szCs w:val="32"/>
        </w:rPr>
        <w:t>。项目资金支出总体能够按照预算执行，根据评分标准，该指标不扣分，得</w:t>
      </w:r>
      <w:r>
        <w:rPr>
          <w:rStyle w:val="a8"/>
          <w:rFonts w:ascii="楷体" w:eastAsia="楷体" w:hAnsi="楷体" w:hint="eastAsia"/>
          <w:spacing w:val="-4"/>
          <w:sz w:val="32"/>
          <w:szCs w:val="32"/>
        </w:rPr>
        <w:t>4.79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）资金使用合规性：《关于批复自治区本级</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年部门预算的通知》（新财预</w:t>
      </w:r>
      <w:r>
        <w:rPr>
          <w:rStyle w:val="a8"/>
          <w:rFonts w:ascii="楷体" w:eastAsia="楷体" w:hAnsi="楷体" w:hint="eastAsia"/>
          <w:spacing w:val="-4"/>
          <w:sz w:val="32"/>
          <w:szCs w:val="32"/>
        </w:rPr>
        <w:t>[2026]1</w:t>
      </w:r>
      <w:r>
        <w:rPr>
          <w:rStyle w:val="a8"/>
          <w:rFonts w:ascii="楷体" w:eastAsia="楷体" w:hAnsi="楷体" w:hint="eastAsia"/>
          <w:spacing w:val="-4"/>
          <w:sz w:val="32"/>
          <w:szCs w:val="32"/>
        </w:rPr>
        <w:t>号）文件符合</w:t>
      </w:r>
      <w:r>
        <w:rPr>
          <w:rStyle w:val="a8"/>
          <w:rFonts w:ascii="楷体" w:eastAsia="楷体" w:hAnsi="楷体" w:hint="eastAsia"/>
          <w:spacing w:val="-4"/>
          <w:sz w:val="32"/>
          <w:szCs w:val="32"/>
        </w:rPr>
        <w:t>预算批复规定用途，不存在截留、挤占、挪用、虚列支出等情况，未发现违规使用情况，根据评分标准，该指标不扣分，得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新疆维吾尔自治区自然资源督察事务中心财务制度》及财务管理制度和管理规定实施，对财政专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）制度执行有效性：由部门提出经费预算支出可行性方案，经过与财经领导小组沟通后，报中心党支部会议研究执行，财务对资金的使用合法合规性进行监督，年底对资金使用效果进行自评，根</w:t>
      </w:r>
      <w:r>
        <w:rPr>
          <w:rStyle w:val="a8"/>
          <w:rFonts w:ascii="楷体" w:eastAsia="楷体" w:hAnsi="楷体" w:hint="eastAsia"/>
          <w:spacing w:val="-4"/>
          <w:sz w:val="32"/>
          <w:szCs w:val="32"/>
        </w:rPr>
        <w:t>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A71ECE" w:rsidRDefault="002F445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（三）项目产出情况。</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项目产出类指标包括产出数量、产出质量、产出时效、产出成本四方面的内容，由</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36.48</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91.2%</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数量指标完成情况分析（精确到小数点后两位小数）</w:t>
      </w:r>
      <w:r>
        <w:rPr>
          <w:rStyle w:val="a8"/>
          <w:rFonts w:ascii="楷体" w:eastAsia="楷体" w:hAnsi="楷体" w:hint="eastAsia"/>
          <w:spacing w:val="-4"/>
          <w:sz w:val="32"/>
          <w:szCs w:val="32"/>
        </w:rPr>
        <w:br/>
      </w:r>
      <w:r>
        <w:rPr>
          <w:rStyle w:val="a8"/>
          <w:rFonts w:ascii="楷体" w:eastAsia="楷体" w:hAnsi="楷体" w:hint="eastAsia"/>
          <w:spacing w:val="-4"/>
          <w:sz w:val="32"/>
          <w:szCs w:val="32"/>
        </w:rPr>
        <w:t>执法办案实地核查人次指标，预期指标值为大于等于</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人次，实际完成值为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人次，指标完成率为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违法案件统计分析指标，预期指标值为大于等于</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个次，实际完成值为</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个次，指标完成率为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自然资源领域督察反馈问题整改情况督导工作次数指标，预期指标值为大于等于</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次，实际完成值为</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次，指标完成率为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开展执法和法治建设调研次数指标，预期指标值为大于等于</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次，实际完成值为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法治动画作品次数指标，预期指标值为大于等于</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，偏差率为</w:t>
      </w:r>
      <w:r>
        <w:rPr>
          <w:rStyle w:val="a8"/>
          <w:rFonts w:ascii="楷体" w:eastAsia="楷体" w:hAnsi="楷体" w:hint="eastAsia"/>
          <w:spacing w:val="-4"/>
          <w:sz w:val="32"/>
          <w:szCs w:val="32"/>
        </w:rPr>
        <w:t>50%</w:t>
      </w:r>
      <w:r>
        <w:rPr>
          <w:rStyle w:val="a8"/>
          <w:rFonts w:ascii="楷体" w:eastAsia="楷体" w:hAnsi="楷体" w:hint="eastAsia"/>
          <w:spacing w:val="-4"/>
          <w:sz w:val="32"/>
          <w:szCs w:val="32"/>
        </w:rPr>
        <w:t>，偏差原因：为提高动漫视频质量，不改变宣传视频时长前提下将</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个视频内容压缩至</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个。采取的措施：计划下一年预算中按照实际工作需求安排宣传动画数量，根据评分标准，该指标扣</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0.8</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环保督察检查验收次数数指标，预期指标值为大于等于</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次，实际完成值为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次，指标完成率为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w:t>
      </w:r>
      <w:r>
        <w:rPr>
          <w:rStyle w:val="a8"/>
          <w:rFonts w:ascii="楷体" w:eastAsia="楷体" w:hAnsi="楷体" w:hint="eastAsia"/>
          <w:spacing w:val="-4"/>
          <w:sz w:val="32"/>
          <w:szCs w:val="32"/>
        </w:rPr>
        <w:lastRenderedPageBreak/>
        <w:t>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法律汇编双语册数指标，预期指标值为大于等于</w:t>
      </w:r>
      <w:r>
        <w:rPr>
          <w:rStyle w:val="a8"/>
          <w:rFonts w:ascii="楷体" w:eastAsia="楷体" w:hAnsi="楷体" w:hint="eastAsia"/>
          <w:spacing w:val="-4"/>
          <w:sz w:val="32"/>
          <w:szCs w:val="32"/>
        </w:rPr>
        <w:t>9500</w:t>
      </w:r>
      <w:r>
        <w:rPr>
          <w:rStyle w:val="a8"/>
          <w:rFonts w:ascii="楷体" w:eastAsia="楷体" w:hAnsi="楷体" w:hint="eastAsia"/>
          <w:spacing w:val="-4"/>
          <w:sz w:val="32"/>
          <w:szCs w:val="32"/>
        </w:rPr>
        <w:t>册，实际完成值为</w:t>
      </w:r>
      <w:r>
        <w:rPr>
          <w:rStyle w:val="a8"/>
          <w:rFonts w:ascii="楷体" w:eastAsia="楷体" w:hAnsi="楷体" w:hint="eastAsia"/>
          <w:spacing w:val="-4"/>
          <w:sz w:val="32"/>
          <w:szCs w:val="32"/>
        </w:rPr>
        <w:t>8000</w:t>
      </w:r>
      <w:r>
        <w:rPr>
          <w:rStyle w:val="a8"/>
          <w:rFonts w:ascii="楷体" w:eastAsia="楷体" w:hAnsi="楷体" w:hint="eastAsia"/>
          <w:spacing w:val="-4"/>
          <w:sz w:val="32"/>
          <w:szCs w:val="32"/>
        </w:rPr>
        <w:t>册，指标完成率为</w:t>
      </w:r>
      <w:r>
        <w:rPr>
          <w:rStyle w:val="a8"/>
          <w:rFonts w:ascii="楷体" w:eastAsia="楷体" w:hAnsi="楷体" w:hint="eastAsia"/>
          <w:spacing w:val="-4"/>
          <w:sz w:val="32"/>
          <w:szCs w:val="32"/>
        </w:rPr>
        <w:t>84.21%</w:t>
      </w:r>
      <w:r>
        <w:rPr>
          <w:rStyle w:val="a8"/>
          <w:rFonts w:ascii="楷体" w:eastAsia="楷体" w:hAnsi="楷体" w:hint="eastAsia"/>
          <w:spacing w:val="-4"/>
          <w:sz w:val="32"/>
          <w:szCs w:val="32"/>
        </w:rPr>
        <w:t>，偏差率为</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8%</w:t>
      </w:r>
      <w:r>
        <w:rPr>
          <w:rStyle w:val="a8"/>
          <w:rFonts w:ascii="楷体" w:eastAsia="楷体" w:hAnsi="楷体" w:hint="eastAsia"/>
          <w:spacing w:val="-4"/>
          <w:sz w:val="32"/>
          <w:szCs w:val="32"/>
        </w:rPr>
        <w:t>，偏差原因：根据实际需求各地州县市和局处室发放数统计合计达</w:t>
      </w:r>
      <w:r>
        <w:rPr>
          <w:rStyle w:val="a8"/>
          <w:rFonts w:ascii="楷体" w:eastAsia="楷体" w:hAnsi="楷体" w:hint="eastAsia"/>
          <w:spacing w:val="-4"/>
          <w:sz w:val="32"/>
          <w:szCs w:val="32"/>
        </w:rPr>
        <w:t>8000</w:t>
      </w:r>
      <w:r>
        <w:rPr>
          <w:rStyle w:val="a8"/>
          <w:rFonts w:ascii="楷体" w:eastAsia="楷体" w:hAnsi="楷体" w:hint="eastAsia"/>
          <w:spacing w:val="-4"/>
          <w:sz w:val="32"/>
          <w:szCs w:val="32"/>
        </w:rPr>
        <w:t>册。采取的措施：第二年预算中优先统计所需册数再进行汇编印刷，根据评分标准，该指标扣</w:t>
      </w:r>
      <w:r>
        <w:rPr>
          <w:rStyle w:val="a8"/>
          <w:rFonts w:ascii="楷体" w:eastAsia="楷体" w:hAnsi="楷体" w:hint="eastAsia"/>
          <w:spacing w:val="-4"/>
          <w:sz w:val="32"/>
          <w:szCs w:val="32"/>
        </w:rPr>
        <w:t>0.32</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1.68</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“十五五”规划编制数指标，预期指标值为大于等于</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份，实际完成值为</w:t>
      </w:r>
      <w:r>
        <w:rPr>
          <w:rStyle w:val="a8"/>
          <w:rFonts w:ascii="楷体" w:eastAsia="楷体" w:hAnsi="楷体" w:hint="eastAsia"/>
          <w:spacing w:val="-4"/>
          <w:sz w:val="32"/>
          <w:szCs w:val="32"/>
        </w:rPr>
        <w:t>8</w:t>
      </w:r>
      <w:r>
        <w:rPr>
          <w:rStyle w:val="a8"/>
          <w:rFonts w:ascii="楷体" w:eastAsia="楷体" w:hAnsi="楷体" w:hint="eastAsia"/>
          <w:spacing w:val="-4"/>
          <w:sz w:val="32"/>
          <w:szCs w:val="32"/>
        </w:rPr>
        <w:t>份，指标完成率为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统计“私搭乱建”等问题专项整治案件数指标，预期指标值为大于等于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件，实际完成值为</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件，指标完成率为</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，偏差率为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，偏差原因：因改革后中心职能职责权限发生变化，工作内容调整后本</w:t>
      </w:r>
      <w:r>
        <w:rPr>
          <w:rStyle w:val="a8"/>
          <w:rFonts w:ascii="楷体" w:eastAsia="楷体" w:hAnsi="楷体" w:hint="eastAsia"/>
          <w:spacing w:val="-4"/>
          <w:sz w:val="32"/>
          <w:szCs w:val="32"/>
        </w:rPr>
        <w:t>年度未承担“私搭乱建”等问题专项整治工作，采取的措施：根据实际工作内容安排绩效目标，根据评分标准，该指标扣</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立法后评估项目个数指标，预期指标值为大于等于</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个，实际完成值为</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质量指标完成情况分析：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卫片执法实地督导检查覆盖率指标，预期指标值为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环保督察实地督导覆盖率指标，预期指标值为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A71ECE" w:rsidRDefault="002F445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（四）项目效益情况。</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项目效益类指标由</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个二级指标和</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个三级指标构成构成，权重分为</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经济效益完成情况分析：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社会效益完成情况分析：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十五五时期自然资源干部人才队伍建设指标，预期指标值为有效提升，实际完成值为有效提升，指标完成率为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法制宣传资料发放率指标，预期指标值为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，指标完成率</w:t>
      </w:r>
      <w:r>
        <w:rPr>
          <w:rStyle w:val="a8"/>
          <w:rFonts w:ascii="楷体" w:eastAsia="楷体" w:hAnsi="楷体" w:hint="eastAsia"/>
          <w:spacing w:val="-4"/>
          <w:sz w:val="32"/>
          <w:szCs w:val="32"/>
        </w:rPr>
        <w:t>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生态效益完成情况分析：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A71ECE" w:rsidRDefault="002F445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法治宣传对象满意度指标，预期指标值为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，实际完成值为</w:t>
      </w:r>
      <w:r>
        <w:rPr>
          <w:rStyle w:val="a8"/>
          <w:rFonts w:ascii="楷体" w:eastAsia="楷体" w:hAnsi="楷体" w:hint="eastAsia"/>
          <w:spacing w:val="-4"/>
          <w:sz w:val="32"/>
          <w:szCs w:val="32"/>
        </w:rPr>
        <w:t>95%</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p>
    <w:p w:rsidR="00A71ECE" w:rsidRDefault="002F4457">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A71ECE" w:rsidRDefault="002F445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1</w:t>
      </w:r>
      <w:r>
        <w:rPr>
          <w:rStyle w:val="a8"/>
          <w:rFonts w:ascii="楷体" w:eastAsia="楷体" w:hAnsi="楷体" w:hint="eastAsia"/>
          <w:spacing w:val="-4"/>
          <w:sz w:val="32"/>
          <w:szCs w:val="32"/>
        </w:rPr>
        <w:t>．不断完善各项预算管理制度，根据新形势和新要求，结合不断出台的各项制度，强化预算管理，事前编制预算，严格控制经费使用，确保每项支出都讲求绩效，将绩效管理理念贯穿于预算编制、执行及决算的全过程。执行及决算等环节。</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．加强宣传，加强对各项制度的执行力度，杜绝有令不行、有禁不止的情况发生。</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（二）存在问题及原因分析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一是对各项指标和指标值要进一步优化、完善，主要在细化、量化上改进。二是绩效自评工作还存在自我审定的局限性，会影响评价质量，容易造成问题的疏漏，在客观性和公正性上说服力不强。</w:t>
      </w:r>
    </w:p>
    <w:p w:rsidR="00A71ECE" w:rsidRDefault="002F4457">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A71ECE" w:rsidRDefault="002F445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进一步完</w:t>
      </w:r>
      <w:r>
        <w:rPr>
          <w:rStyle w:val="a8"/>
          <w:rFonts w:ascii="楷体" w:eastAsia="楷体" w:hAnsi="楷体" w:hint="eastAsia"/>
          <w:spacing w:val="-4"/>
          <w:sz w:val="32"/>
          <w:szCs w:val="32"/>
        </w:rPr>
        <w:t>善项目评审机制，严格对照自治区重大决策部署和部门核心职能，细化绩效目标设置，确保目标可量化、可考核、可实现，从源头提升项目规划与资金配置的精准性。加强项目实施进度与预算执行进度联动，健全动态监控机制，加快资金拨付与支出进度，严控结转结余，避免资金沉淀，切实提升财政资金使用效率和到位率。</w:t>
      </w:r>
    </w:p>
    <w:p w:rsidR="00A71ECE" w:rsidRDefault="002F4457">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A71ECE" w:rsidRDefault="002F4457">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无</w:t>
      </w: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p w:rsidR="00A71ECE" w:rsidRDefault="00A71ECE">
      <w:pPr>
        <w:spacing w:line="540" w:lineRule="exact"/>
        <w:ind w:firstLine="567"/>
        <w:rPr>
          <w:rStyle w:val="a8"/>
          <w:rFonts w:ascii="仿宋" w:eastAsia="仿宋" w:hAnsi="仿宋"/>
          <w:b w:val="0"/>
          <w:spacing w:val="-4"/>
          <w:sz w:val="32"/>
          <w:szCs w:val="32"/>
        </w:rPr>
      </w:pPr>
    </w:p>
    <w:sectPr w:rsidR="00A71ECE">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457" w:rsidRDefault="002F4457">
      <w:r>
        <w:separator/>
      </w:r>
    </w:p>
  </w:endnote>
  <w:endnote w:type="continuationSeparator" w:id="0">
    <w:p w:rsidR="002F4457" w:rsidRDefault="002F4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A71ECE" w:rsidRDefault="002F4457">
        <w:pPr>
          <w:pStyle w:val="a4"/>
          <w:jc w:val="center"/>
        </w:pPr>
        <w:r>
          <w:fldChar w:fldCharType="begin"/>
        </w:r>
        <w:r>
          <w:instrText>PAGE   \* MERGEFORMAT</w:instrText>
        </w:r>
        <w:r>
          <w:fldChar w:fldCharType="separate"/>
        </w:r>
        <w:r w:rsidR="00476754" w:rsidRPr="00476754">
          <w:rPr>
            <w:noProof/>
            <w:lang w:val="zh-CN"/>
          </w:rPr>
          <w:t>1</w:t>
        </w:r>
        <w:r>
          <w:fldChar w:fldCharType="end"/>
        </w:r>
      </w:p>
    </w:sdtContent>
  </w:sdt>
  <w:p w:rsidR="00A71ECE" w:rsidRDefault="00A71EC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457" w:rsidRDefault="002F4457">
      <w:r>
        <w:separator/>
      </w:r>
    </w:p>
  </w:footnote>
  <w:footnote w:type="continuationSeparator" w:id="0">
    <w:p w:rsidR="002F4457" w:rsidRDefault="002F44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2F4457"/>
    <w:rsid w:val="00311DBE"/>
    <w:rsid w:val="00345DD7"/>
    <w:rsid w:val="00351EFF"/>
    <w:rsid w:val="003B0577"/>
    <w:rsid w:val="003E7E58"/>
    <w:rsid w:val="003F5180"/>
    <w:rsid w:val="00414C3A"/>
    <w:rsid w:val="004366A8"/>
    <w:rsid w:val="00476754"/>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71ECE"/>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1600</Words>
  <Characters>9122</Characters>
  <Application>Microsoft Office Word</Application>
  <DocSecurity>0</DocSecurity>
  <Lines>76</Lines>
  <Paragraphs>21</Paragraphs>
  <ScaleCrop>false</ScaleCrop>
  <Company>P R C</Company>
  <LinksUpToDate>false</LinksUpToDate>
  <CharactersWithSpaces>10701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