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EE8" w:rsidRDefault="002065E9">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BD5EE8" w:rsidRDefault="00BD5EE8">
      <w:pPr>
        <w:spacing w:line="540" w:lineRule="exact"/>
        <w:jc w:val="center"/>
        <w:rPr>
          <w:rFonts w:ascii="华文中宋" w:eastAsia="华文中宋" w:hAnsi="华文中宋" w:cs="宋体"/>
          <w:b/>
          <w:kern w:val="0"/>
          <w:sz w:val="52"/>
          <w:szCs w:val="52"/>
        </w:rPr>
      </w:pPr>
    </w:p>
    <w:p w:rsidR="00BD5EE8" w:rsidRDefault="00BD5EE8">
      <w:pPr>
        <w:spacing w:line="540" w:lineRule="exact"/>
        <w:jc w:val="center"/>
        <w:rPr>
          <w:rFonts w:ascii="华文中宋" w:eastAsia="华文中宋" w:hAnsi="华文中宋" w:cs="宋体"/>
          <w:b/>
          <w:kern w:val="0"/>
          <w:sz w:val="52"/>
          <w:szCs w:val="52"/>
        </w:rPr>
      </w:pPr>
    </w:p>
    <w:p w:rsidR="00BD5EE8" w:rsidRDefault="00BD5EE8">
      <w:pPr>
        <w:spacing w:line="540" w:lineRule="exact"/>
        <w:jc w:val="center"/>
        <w:rPr>
          <w:rFonts w:ascii="华文中宋" w:eastAsia="华文中宋" w:hAnsi="华文中宋" w:cs="宋体"/>
          <w:b/>
          <w:kern w:val="0"/>
          <w:sz w:val="52"/>
          <w:szCs w:val="52"/>
        </w:rPr>
      </w:pPr>
    </w:p>
    <w:p w:rsidR="00BD5EE8" w:rsidRDefault="00BD5EE8">
      <w:pPr>
        <w:spacing w:line="540" w:lineRule="exact"/>
        <w:jc w:val="center"/>
        <w:rPr>
          <w:rFonts w:ascii="华文中宋" w:eastAsia="华文中宋" w:hAnsi="华文中宋" w:cs="宋体"/>
          <w:b/>
          <w:kern w:val="0"/>
          <w:sz w:val="52"/>
          <w:szCs w:val="52"/>
        </w:rPr>
      </w:pPr>
    </w:p>
    <w:p w:rsidR="00BD5EE8" w:rsidRDefault="00BD5EE8">
      <w:pPr>
        <w:spacing w:line="540" w:lineRule="exact"/>
        <w:jc w:val="center"/>
        <w:rPr>
          <w:rFonts w:ascii="华文中宋" w:eastAsia="华文中宋" w:hAnsi="华文中宋" w:cs="宋体"/>
          <w:b/>
          <w:kern w:val="0"/>
          <w:sz w:val="52"/>
          <w:szCs w:val="52"/>
        </w:rPr>
      </w:pPr>
    </w:p>
    <w:p w:rsidR="00BD5EE8" w:rsidRDefault="00BD5EE8">
      <w:pPr>
        <w:spacing w:line="540" w:lineRule="exact"/>
        <w:jc w:val="center"/>
        <w:rPr>
          <w:rFonts w:ascii="华文中宋" w:eastAsia="华文中宋" w:hAnsi="华文中宋" w:cs="宋体"/>
          <w:b/>
          <w:kern w:val="0"/>
          <w:sz w:val="52"/>
          <w:szCs w:val="52"/>
        </w:rPr>
      </w:pPr>
    </w:p>
    <w:p w:rsidR="00BD5EE8" w:rsidRDefault="002065E9">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BD5EE8" w:rsidRDefault="00BD5EE8">
      <w:pPr>
        <w:spacing w:line="540" w:lineRule="exact"/>
        <w:jc w:val="center"/>
        <w:rPr>
          <w:rFonts w:ascii="华文中宋" w:eastAsia="华文中宋" w:hAnsi="华文中宋" w:cs="宋体"/>
          <w:b/>
          <w:kern w:val="0"/>
          <w:sz w:val="52"/>
          <w:szCs w:val="52"/>
        </w:rPr>
      </w:pPr>
    </w:p>
    <w:p w:rsidR="00BD5EE8" w:rsidRDefault="002065E9">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BD5EE8" w:rsidRDefault="00BD5EE8">
      <w:pPr>
        <w:spacing w:line="540" w:lineRule="exact"/>
        <w:jc w:val="center"/>
        <w:rPr>
          <w:rFonts w:eastAsia="仿宋_GB2312" w:hAnsi="宋体" w:cs="宋体"/>
          <w:kern w:val="0"/>
          <w:sz w:val="30"/>
          <w:szCs w:val="30"/>
        </w:rPr>
      </w:pPr>
    </w:p>
    <w:p w:rsidR="00BD5EE8" w:rsidRDefault="00BD5EE8">
      <w:pPr>
        <w:spacing w:line="540" w:lineRule="exact"/>
        <w:jc w:val="center"/>
        <w:rPr>
          <w:rFonts w:eastAsia="仿宋_GB2312" w:hAnsi="宋体" w:cs="宋体"/>
          <w:kern w:val="0"/>
          <w:sz w:val="30"/>
          <w:szCs w:val="30"/>
        </w:rPr>
      </w:pPr>
    </w:p>
    <w:p w:rsidR="00BD5EE8" w:rsidRDefault="00BD5EE8">
      <w:pPr>
        <w:spacing w:line="540" w:lineRule="exact"/>
        <w:jc w:val="center"/>
        <w:rPr>
          <w:rFonts w:ascii="方正小标宋_GBK" w:eastAsia="方正小标宋_GBK" w:hAnsi="宋体" w:cs="宋体" w:hint="eastAsia"/>
          <w:kern w:val="0"/>
          <w:sz w:val="36"/>
          <w:szCs w:val="36"/>
        </w:rPr>
      </w:pPr>
    </w:p>
    <w:p w:rsidR="003E53C4" w:rsidRDefault="003E53C4">
      <w:pPr>
        <w:spacing w:line="540" w:lineRule="exact"/>
        <w:jc w:val="center"/>
        <w:rPr>
          <w:rFonts w:eastAsia="仿宋_GB2312" w:hAnsi="宋体" w:cs="宋体"/>
          <w:kern w:val="0"/>
          <w:sz w:val="30"/>
          <w:szCs w:val="30"/>
        </w:rPr>
      </w:pPr>
      <w:bookmarkStart w:id="0" w:name="_GoBack"/>
      <w:bookmarkEnd w:id="0"/>
    </w:p>
    <w:p w:rsidR="00BD5EE8" w:rsidRDefault="00BD5EE8">
      <w:pPr>
        <w:spacing w:line="540" w:lineRule="exact"/>
        <w:jc w:val="center"/>
        <w:rPr>
          <w:rFonts w:eastAsia="仿宋_GB2312" w:hAnsi="宋体" w:cs="宋体"/>
          <w:kern w:val="0"/>
          <w:sz w:val="30"/>
          <w:szCs w:val="30"/>
        </w:rPr>
      </w:pPr>
    </w:p>
    <w:p w:rsidR="00BD5EE8" w:rsidRDefault="00BD5EE8">
      <w:pPr>
        <w:spacing w:line="540" w:lineRule="exact"/>
        <w:jc w:val="center"/>
        <w:rPr>
          <w:rFonts w:eastAsia="仿宋_GB2312" w:hAnsi="宋体" w:cs="宋体"/>
          <w:kern w:val="0"/>
          <w:sz w:val="30"/>
          <w:szCs w:val="30"/>
        </w:rPr>
      </w:pPr>
    </w:p>
    <w:p w:rsidR="00BD5EE8" w:rsidRDefault="00BD5EE8">
      <w:pPr>
        <w:spacing w:line="540" w:lineRule="exact"/>
        <w:rPr>
          <w:rFonts w:eastAsia="仿宋_GB2312" w:hAnsi="宋体" w:cs="宋体"/>
          <w:kern w:val="0"/>
          <w:sz w:val="30"/>
          <w:szCs w:val="30"/>
        </w:rPr>
      </w:pPr>
    </w:p>
    <w:p w:rsidR="00BD5EE8" w:rsidRDefault="002065E9">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BD5EE8" w:rsidRDefault="002065E9">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新疆维吾尔自治区绿色矿山评估与核查</w:t>
      </w:r>
    </w:p>
    <w:p w:rsidR="00BD5EE8" w:rsidRDefault="002065E9">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新疆维吾尔自治区地质勘查质量评价中心</w:t>
      </w:r>
    </w:p>
    <w:p w:rsidR="00BD5EE8" w:rsidRDefault="002065E9">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新疆维吾尔自治区地质勘查质量评价中心</w:t>
      </w:r>
    </w:p>
    <w:p w:rsidR="00BD5EE8" w:rsidRDefault="002065E9">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汪涛</w:t>
      </w:r>
    </w:p>
    <w:p w:rsidR="00BD5EE8" w:rsidRDefault="002065E9">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05</w:t>
      </w:r>
      <w:r>
        <w:rPr>
          <w:rStyle w:val="a8"/>
          <w:rFonts w:ascii="楷体" w:eastAsia="楷体" w:hAnsi="楷体" w:hint="eastAsia"/>
          <w:spacing w:val="-4"/>
          <w:sz w:val="32"/>
          <w:szCs w:val="32"/>
        </w:rPr>
        <w:t>日</w:t>
      </w:r>
    </w:p>
    <w:p w:rsidR="00BD5EE8" w:rsidRDefault="00BD5EE8">
      <w:pPr>
        <w:spacing w:line="700" w:lineRule="exact"/>
        <w:ind w:firstLineChars="236" w:firstLine="708"/>
        <w:jc w:val="left"/>
        <w:rPr>
          <w:rFonts w:eastAsia="仿宋_GB2312" w:hAnsi="宋体" w:cs="宋体"/>
          <w:kern w:val="0"/>
          <w:sz w:val="30"/>
          <w:szCs w:val="30"/>
        </w:rPr>
      </w:pPr>
    </w:p>
    <w:p w:rsidR="00BD5EE8" w:rsidRDefault="00BD5EE8">
      <w:pPr>
        <w:spacing w:line="540" w:lineRule="exact"/>
        <w:rPr>
          <w:rStyle w:val="a8"/>
          <w:rFonts w:ascii="黑体" w:eastAsia="黑体" w:hAnsi="黑体"/>
          <w:b w:val="0"/>
          <w:spacing w:val="-4"/>
          <w:sz w:val="32"/>
          <w:szCs w:val="32"/>
        </w:rPr>
      </w:pPr>
    </w:p>
    <w:p w:rsidR="00BD5EE8" w:rsidRDefault="002065E9">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BD5EE8" w:rsidRDefault="002065E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BD5EE8" w:rsidRDefault="002065E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项目背景</w:t>
      </w:r>
      <w:r>
        <w:rPr>
          <w:rStyle w:val="a8"/>
          <w:rFonts w:ascii="楷体" w:eastAsia="楷体" w:hAnsi="楷体" w:hint="eastAsia"/>
          <w:spacing w:val="-4"/>
          <w:sz w:val="32"/>
          <w:szCs w:val="32"/>
        </w:rPr>
        <w:br/>
      </w:r>
      <w:r>
        <w:rPr>
          <w:rStyle w:val="a8"/>
          <w:rFonts w:ascii="楷体" w:eastAsia="楷体" w:hAnsi="楷体" w:hint="eastAsia"/>
          <w:spacing w:val="-4"/>
          <w:sz w:val="32"/>
          <w:szCs w:val="32"/>
        </w:rPr>
        <w:t>绿色矿山建设是推动矿业高质量发展的重要举措，是矿业领域生态文明建设的有力抓手，是实现人与自然和谐共生的必然要求。为践行习近平生态文明思想，加快自治区矿业绿色低碳转型发展，全面推进绿色矿山建设，依据自然资源部等</w:t>
      </w:r>
      <w:r>
        <w:rPr>
          <w:rStyle w:val="a8"/>
          <w:rFonts w:ascii="楷体" w:eastAsia="楷体" w:hAnsi="楷体" w:hint="eastAsia"/>
          <w:spacing w:val="-4"/>
          <w:sz w:val="32"/>
          <w:szCs w:val="32"/>
        </w:rPr>
        <w:t>7</w:t>
      </w:r>
      <w:r>
        <w:rPr>
          <w:rStyle w:val="a8"/>
          <w:rFonts w:ascii="楷体" w:eastAsia="楷体" w:hAnsi="楷体" w:hint="eastAsia"/>
          <w:spacing w:val="-4"/>
          <w:sz w:val="32"/>
          <w:szCs w:val="32"/>
        </w:rPr>
        <w:t>部委联合印发的《关于进一步加强绿色矿山建设的通知》（自然资规〔</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号）相关规定，结合自治区自然资源厅矿产资源保护监督处（以下简称厅矿保处）的工作部署，同时参照</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年部门预算安排，自治区地质勘查质量评价中心绿色矿业技术室负责开展自治区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年绿色矿山评估与核查工作。</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主要内容及实施情况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）主要内容</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为严格落实自然资源厅矿产资源保护监督处工作部署，我中心委托第三方评估机构对矿山企业开展绿色矿山建设评估，并对评估通过的矿山开展实地核查（根据双随机一公开要求）。</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①绿色矿山评估</w:t>
      </w:r>
      <w:r>
        <w:rPr>
          <w:rStyle w:val="a8"/>
          <w:rFonts w:ascii="楷体" w:eastAsia="楷体" w:hAnsi="楷体" w:hint="eastAsia"/>
          <w:spacing w:val="-4"/>
          <w:sz w:val="32"/>
          <w:szCs w:val="32"/>
        </w:rPr>
        <w:br/>
      </w:r>
      <w:r>
        <w:rPr>
          <w:rStyle w:val="a8"/>
          <w:rFonts w:ascii="楷体" w:eastAsia="楷体" w:hAnsi="楷体" w:hint="eastAsia"/>
          <w:spacing w:val="-4"/>
          <w:sz w:val="32"/>
          <w:szCs w:val="32"/>
        </w:rPr>
        <w:t>按照自然资源厅矿产资源保护监督处工作部署，</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年对拟申报的</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家大中型矿山开展第三方评估工作，若申报数量超过</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家，则超出部分纳入下一年度评估。</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②绿色矿山核查</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截至</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月底，自治区范围内共有</w:t>
      </w:r>
      <w:r>
        <w:rPr>
          <w:rStyle w:val="a8"/>
          <w:rFonts w:ascii="楷体" w:eastAsia="楷体" w:hAnsi="楷体" w:hint="eastAsia"/>
          <w:spacing w:val="-4"/>
          <w:sz w:val="32"/>
          <w:szCs w:val="32"/>
        </w:rPr>
        <w:t>158</w:t>
      </w:r>
      <w:r>
        <w:rPr>
          <w:rStyle w:val="a8"/>
          <w:rFonts w:ascii="楷体" w:eastAsia="楷体" w:hAnsi="楷体" w:hint="eastAsia"/>
          <w:spacing w:val="-4"/>
          <w:sz w:val="32"/>
          <w:szCs w:val="32"/>
        </w:rPr>
        <w:t>家矿山达到绿色矿山标准。按照“双随机、一公开”工作要求，每年随机抽取的绿色矿山数量不低于总数的</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。经</w:t>
      </w:r>
      <w:r>
        <w:rPr>
          <w:rStyle w:val="a8"/>
          <w:rFonts w:ascii="楷体" w:eastAsia="楷体" w:hAnsi="楷体" w:hint="eastAsia"/>
          <w:spacing w:val="-4"/>
          <w:sz w:val="32"/>
          <w:szCs w:val="32"/>
        </w:rPr>
        <w:t>计算，</w:t>
      </w:r>
      <w:r>
        <w:rPr>
          <w:rStyle w:val="a8"/>
          <w:rFonts w:ascii="楷体" w:eastAsia="楷体" w:hAnsi="楷体" w:hint="eastAsia"/>
          <w:spacing w:val="-4"/>
          <w:sz w:val="32"/>
          <w:szCs w:val="32"/>
        </w:rPr>
        <w:t>158</w:t>
      </w:r>
      <w:r>
        <w:rPr>
          <w:rStyle w:val="a8"/>
          <w:rFonts w:ascii="楷体" w:eastAsia="楷体" w:hAnsi="楷体" w:hint="eastAsia"/>
          <w:spacing w:val="-4"/>
          <w:sz w:val="32"/>
          <w:szCs w:val="32"/>
        </w:rPr>
        <w:t>家的</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为</w:t>
      </w:r>
      <w:r>
        <w:rPr>
          <w:rStyle w:val="a8"/>
          <w:rFonts w:ascii="楷体" w:eastAsia="楷体" w:hAnsi="楷体" w:hint="eastAsia"/>
          <w:spacing w:val="-4"/>
          <w:sz w:val="32"/>
          <w:szCs w:val="32"/>
        </w:rPr>
        <w:t>15.8</w:t>
      </w:r>
      <w:r>
        <w:rPr>
          <w:rStyle w:val="a8"/>
          <w:rFonts w:ascii="楷体" w:eastAsia="楷体" w:hAnsi="楷体" w:hint="eastAsia"/>
          <w:spacing w:val="-4"/>
          <w:sz w:val="32"/>
          <w:szCs w:val="32"/>
        </w:rPr>
        <w:t>家，向上取整后，每年随机抽取的绿色矿山数量至少为</w:t>
      </w:r>
      <w:r>
        <w:rPr>
          <w:rStyle w:val="a8"/>
          <w:rFonts w:ascii="楷体" w:eastAsia="楷体" w:hAnsi="楷体" w:hint="eastAsia"/>
          <w:spacing w:val="-4"/>
          <w:sz w:val="32"/>
          <w:szCs w:val="32"/>
        </w:rPr>
        <w:t>16</w:t>
      </w:r>
      <w:r>
        <w:rPr>
          <w:rStyle w:val="a8"/>
          <w:rFonts w:ascii="楷体" w:eastAsia="楷体" w:hAnsi="楷体" w:hint="eastAsia"/>
          <w:spacing w:val="-4"/>
          <w:sz w:val="32"/>
          <w:szCs w:val="32"/>
        </w:rPr>
        <w:t>家。同时，对当年通过第三方评估的绿色矿山，按</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的比例进行抽查，此部分抽查数量约为</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家。两项工作合计，</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开展实地核查矿山数量为</w:t>
      </w:r>
      <w:r>
        <w:rPr>
          <w:rStyle w:val="a8"/>
          <w:rFonts w:ascii="楷体" w:eastAsia="楷体" w:hAnsi="楷体" w:hint="eastAsia"/>
          <w:spacing w:val="-4"/>
          <w:sz w:val="32"/>
          <w:szCs w:val="32"/>
        </w:rPr>
        <w:t>26</w:t>
      </w:r>
      <w:r>
        <w:rPr>
          <w:rStyle w:val="a8"/>
          <w:rFonts w:ascii="楷体" w:eastAsia="楷体" w:hAnsi="楷体" w:hint="eastAsia"/>
          <w:spacing w:val="-4"/>
          <w:sz w:val="32"/>
          <w:szCs w:val="32"/>
        </w:rPr>
        <w:t>家。（注：两类抽查仅比例不同，工作内容与方法一致）</w:t>
      </w:r>
      <w:r>
        <w:rPr>
          <w:rStyle w:val="a8"/>
          <w:rFonts w:ascii="楷体" w:eastAsia="楷体" w:hAnsi="楷体" w:hint="eastAsia"/>
          <w:spacing w:val="-4"/>
          <w:sz w:val="32"/>
          <w:szCs w:val="32"/>
        </w:rPr>
        <w:br/>
      </w:r>
      <w:r>
        <w:rPr>
          <w:rStyle w:val="a8"/>
          <w:rFonts w:ascii="楷体" w:eastAsia="楷体" w:hAnsi="楷体" w:hint="eastAsia"/>
          <w:spacing w:val="-4"/>
          <w:sz w:val="32"/>
          <w:szCs w:val="32"/>
        </w:rPr>
        <w:t>年度</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主要任务</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数量（家）</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备注</w:t>
      </w:r>
      <w:r>
        <w:rPr>
          <w:rStyle w:val="a8"/>
          <w:rFonts w:ascii="楷体" w:eastAsia="楷体" w:hAnsi="楷体" w:hint="eastAsia"/>
          <w:spacing w:val="-4"/>
          <w:sz w:val="32"/>
          <w:szCs w:val="32"/>
        </w:rPr>
        <w:br/>
        <w:t xml:space="preserve">2025 </w:t>
      </w:r>
      <w:r>
        <w:rPr>
          <w:rStyle w:val="a8"/>
          <w:rFonts w:ascii="楷体" w:eastAsia="楷体" w:hAnsi="楷体" w:hint="eastAsia"/>
          <w:spacing w:val="-4"/>
          <w:sz w:val="32"/>
          <w:szCs w:val="32"/>
        </w:rPr>
        <w:t>绿色矿山评估</w:t>
      </w:r>
      <w:r>
        <w:rPr>
          <w:rStyle w:val="a8"/>
          <w:rFonts w:ascii="楷体" w:eastAsia="楷体" w:hAnsi="楷体" w:hint="eastAsia"/>
          <w:spacing w:val="-4"/>
          <w:sz w:val="32"/>
          <w:szCs w:val="32"/>
        </w:rPr>
        <w:t xml:space="preserve"> 50</w:t>
      </w:r>
      <w:r>
        <w:rPr>
          <w:rStyle w:val="a8"/>
          <w:rFonts w:ascii="楷体" w:eastAsia="楷体" w:hAnsi="楷体" w:hint="eastAsia"/>
          <w:spacing w:val="-4"/>
          <w:sz w:val="32"/>
          <w:szCs w:val="32"/>
        </w:rPr>
        <w:br/>
      </w:r>
      <w:r>
        <w:rPr>
          <w:rStyle w:val="a8"/>
          <w:rFonts w:ascii="楷体" w:eastAsia="楷体" w:hAnsi="楷体" w:hint="eastAsia"/>
          <w:spacing w:val="-4"/>
          <w:sz w:val="32"/>
          <w:szCs w:val="32"/>
        </w:rPr>
        <w:t>绿色矿山核查（旧有）</w:t>
      </w:r>
      <w:r>
        <w:rPr>
          <w:rStyle w:val="a8"/>
          <w:rFonts w:ascii="楷体" w:eastAsia="楷体" w:hAnsi="楷体" w:hint="eastAsia"/>
          <w:spacing w:val="-4"/>
          <w:sz w:val="32"/>
          <w:szCs w:val="32"/>
        </w:rPr>
        <w:t xml:space="preserve"> 16</w:t>
      </w:r>
      <w:r>
        <w:rPr>
          <w:rStyle w:val="a8"/>
          <w:rFonts w:ascii="楷体" w:eastAsia="楷体" w:hAnsi="楷体" w:hint="eastAsia"/>
          <w:spacing w:val="-4"/>
          <w:sz w:val="32"/>
          <w:szCs w:val="32"/>
        </w:rPr>
        <w:br/>
      </w:r>
      <w:r>
        <w:rPr>
          <w:rStyle w:val="a8"/>
          <w:rFonts w:ascii="楷体" w:eastAsia="楷体" w:hAnsi="楷体" w:hint="eastAsia"/>
          <w:spacing w:val="-4"/>
          <w:sz w:val="32"/>
          <w:szCs w:val="32"/>
        </w:rPr>
        <w:t>绿色矿山核查（新增）</w:t>
      </w:r>
      <w:r>
        <w:rPr>
          <w:rStyle w:val="a8"/>
          <w:rFonts w:ascii="楷体" w:eastAsia="楷体" w:hAnsi="楷体" w:hint="eastAsia"/>
          <w:spacing w:val="-4"/>
          <w:sz w:val="32"/>
          <w:szCs w:val="32"/>
        </w:rPr>
        <w:t xml:space="preserve"> 10</w:t>
      </w:r>
      <w:r>
        <w:rPr>
          <w:rStyle w:val="a8"/>
          <w:rFonts w:ascii="楷体" w:eastAsia="楷体" w:hAnsi="楷体" w:hint="eastAsia"/>
          <w:spacing w:val="-4"/>
          <w:sz w:val="32"/>
          <w:szCs w:val="32"/>
        </w:rPr>
        <w:br/>
      </w:r>
      <w:r>
        <w:rPr>
          <w:rStyle w:val="a8"/>
          <w:rFonts w:ascii="楷体" w:eastAsia="楷体" w:hAnsi="楷体" w:hint="eastAsia"/>
          <w:spacing w:val="-4"/>
          <w:sz w:val="32"/>
          <w:szCs w:val="32"/>
        </w:rPr>
        <w:t>工作量统计表</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①绿色矿山评估</w:t>
      </w:r>
      <w:r>
        <w:rPr>
          <w:rStyle w:val="a8"/>
          <w:rFonts w:ascii="楷体" w:eastAsia="楷体" w:hAnsi="楷体" w:hint="eastAsia"/>
          <w:spacing w:val="-4"/>
          <w:sz w:val="32"/>
          <w:szCs w:val="32"/>
        </w:rPr>
        <w:b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8</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5</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8</w:t>
      </w:r>
      <w:r>
        <w:rPr>
          <w:rStyle w:val="a8"/>
          <w:rFonts w:ascii="楷体" w:eastAsia="楷体" w:hAnsi="楷体" w:hint="eastAsia"/>
          <w:spacing w:val="-4"/>
          <w:sz w:val="32"/>
          <w:szCs w:val="32"/>
        </w:rPr>
        <w:t>日，我中心收到自然资源厅矿产资源保护监督处</w:t>
      </w:r>
      <w:r>
        <w:rPr>
          <w:rStyle w:val="a8"/>
          <w:rFonts w:ascii="楷体" w:eastAsia="楷体" w:hAnsi="楷体" w:hint="eastAsia"/>
          <w:spacing w:val="-4"/>
          <w:sz w:val="32"/>
          <w:szCs w:val="32"/>
        </w:rPr>
        <w:t>委托开展绿色矿山第三方评估工作的函，</w:t>
      </w:r>
      <w:r>
        <w:rPr>
          <w:rStyle w:val="a8"/>
          <w:rFonts w:ascii="楷体" w:eastAsia="楷体" w:hAnsi="楷体" w:hint="eastAsia"/>
          <w:spacing w:val="-4"/>
          <w:sz w:val="32"/>
          <w:szCs w:val="32"/>
        </w:rPr>
        <w:t>9</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月期间，我中心委托第三方评估机构对</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家申报绿色矿山的矿山企业开展第三方评估工作，截至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日，完成了</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家矿山的第三方评估工作。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②绿色矿山核查</w:t>
      </w:r>
      <w:r>
        <w:rPr>
          <w:rStyle w:val="a8"/>
          <w:rFonts w:ascii="楷体" w:eastAsia="楷体" w:hAnsi="楷体" w:hint="eastAsia"/>
          <w:spacing w:val="-4"/>
          <w:sz w:val="32"/>
          <w:szCs w:val="32"/>
        </w:rPr>
        <w:b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6</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16</w:t>
      </w:r>
      <w:r>
        <w:rPr>
          <w:rStyle w:val="a8"/>
          <w:rFonts w:ascii="楷体" w:eastAsia="楷体" w:hAnsi="楷体" w:hint="eastAsia"/>
          <w:spacing w:val="-4"/>
          <w:sz w:val="32"/>
          <w:szCs w:val="32"/>
        </w:rPr>
        <w:t>日，我中心收到厅矿保处委托开展绿色矿山复核工作的函，截至</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日，完成了</w:t>
      </w:r>
      <w:r>
        <w:rPr>
          <w:rStyle w:val="a8"/>
          <w:rFonts w:ascii="楷体" w:eastAsia="楷体" w:hAnsi="楷体" w:hint="eastAsia"/>
          <w:spacing w:val="-4"/>
          <w:sz w:val="32"/>
          <w:szCs w:val="32"/>
        </w:rPr>
        <w:t>26</w:t>
      </w:r>
      <w:r>
        <w:rPr>
          <w:rStyle w:val="a8"/>
          <w:rFonts w:ascii="楷体" w:eastAsia="楷体" w:hAnsi="楷体" w:hint="eastAsia"/>
          <w:spacing w:val="-4"/>
          <w:sz w:val="32"/>
          <w:szCs w:val="32"/>
        </w:rPr>
        <w:t>家绿色矿山复核工作。</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项目实施主体</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该项目由新疆维吾尔自治区地质勘查质量评价中心实施，中心</w:t>
      </w:r>
      <w:r>
        <w:rPr>
          <w:rStyle w:val="a8"/>
          <w:rFonts w:ascii="楷体" w:eastAsia="楷体" w:hAnsi="楷体" w:hint="eastAsia"/>
          <w:spacing w:val="-4"/>
          <w:sz w:val="32"/>
          <w:szCs w:val="32"/>
        </w:rPr>
        <w:lastRenderedPageBreak/>
        <w:t>内设</w:t>
      </w:r>
      <w:r>
        <w:rPr>
          <w:rStyle w:val="a8"/>
          <w:rFonts w:ascii="楷体" w:eastAsia="楷体" w:hAnsi="楷体" w:hint="eastAsia"/>
          <w:spacing w:val="-4"/>
          <w:sz w:val="32"/>
          <w:szCs w:val="32"/>
        </w:rPr>
        <w:t>9</w:t>
      </w:r>
      <w:r>
        <w:rPr>
          <w:rStyle w:val="a8"/>
          <w:rFonts w:ascii="楷体" w:eastAsia="楷体" w:hAnsi="楷体" w:hint="eastAsia"/>
          <w:spacing w:val="-4"/>
          <w:sz w:val="32"/>
          <w:szCs w:val="32"/>
        </w:rPr>
        <w:t>个科室，分别是：办公室、人事科、财务科、总工程师办公室、规划研究室、地质勘查质量监督室、地质勘查技术室、矿</w:t>
      </w:r>
      <w:r>
        <w:rPr>
          <w:rStyle w:val="a8"/>
          <w:rFonts w:ascii="楷体" w:eastAsia="楷体" w:hAnsi="楷体" w:hint="eastAsia"/>
          <w:spacing w:val="-4"/>
          <w:sz w:val="32"/>
          <w:szCs w:val="32"/>
        </w:rPr>
        <w:t>产资源调查评估室、绿色矿业技术室。主要职能是承担矿产资源规划编制、实施及评估等工作，检查指导地质勘查项目野外工作质量，协调解决野外地质勘查遇到的重大地质问题，承担自治区地质勘查专项统计和分析，开展矿产资源调查监测等工作，为矿产资源储量动态监督管理提供技术支撑，开展绿色勘查、绿色矿山评价与研究，承担矿产资源勘查开发，技术创新、示范应用和成果转化，检查指导自治区财政出资地质勘查项目资金使用，承办自治区自然资厅交办的其他工作。</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资金投入及使用情况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）项目资金安排落实、总投入等情况分析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根据《关于批复</w:t>
      </w:r>
      <w:r>
        <w:rPr>
          <w:rStyle w:val="a8"/>
          <w:rFonts w:ascii="楷体" w:eastAsia="楷体" w:hAnsi="楷体" w:hint="eastAsia"/>
          <w:spacing w:val="-4"/>
          <w:sz w:val="32"/>
          <w:szCs w:val="32"/>
        </w:rPr>
        <w:t>202</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年直属单位预算的通知》（新自然资函〔</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32</w:t>
      </w:r>
      <w:r>
        <w:rPr>
          <w:rStyle w:val="a8"/>
          <w:rFonts w:ascii="楷体" w:eastAsia="楷体" w:hAnsi="楷体" w:hint="eastAsia"/>
          <w:spacing w:val="-4"/>
          <w:sz w:val="32"/>
          <w:szCs w:val="32"/>
        </w:rPr>
        <w:t>号），本年度安排下达资金</w:t>
      </w:r>
      <w:r>
        <w:rPr>
          <w:rStyle w:val="a8"/>
          <w:rFonts w:ascii="楷体" w:eastAsia="楷体" w:hAnsi="楷体" w:hint="eastAsia"/>
          <w:spacing w:val="-4"/>
          <w:sz w:val="32"/>
          <w:szCs w:val="32"/>
        </w:rPr>
        <w:t>300</w:t>
      </w:r>
      <w:r>
        <w:rPr>
          <w:rStyle w:val="a8"/>
          <w:rFonts w:ascii="楷体" w:eastAsia="楷体" w:hAnsi="楷体" w:hint="eastAsia"/>
          <w:spacing w:val="-4"/>
          <w:sz w:val="32"/>
          <w:szCs w:val="32"/>
        </w:rPr>
        <w:t>万元，为财政资金，最终确定项目资金总数为</w:t>
      </w:r>
      <w:r>
        <w:rPr>
          <w:rStyle w:val="a8"/>
          <w:rFonts w:ascii="楷体" w:eastAsia="楷体" w:hAnsi="楷体" w:hint="eastAsia"/>
          <w:spacing w:val="-4"/>
          <w:sz w:val="32"/>
          <w:szCs w:val="32"/>
        </w:rPr>
        <w:t>300</w:t>
      </w:r>
      <w:r>
        <w:rPr>
          <w:rStyle w:val="a8"/>
          <w:rFonts w:ascii="楷体" w:eastAsia="楷体" w:hAnsi="楷体" w:hint="eastAsia"/>
          <w:spacing w:val="-4"/>
          <w:sz w:val="32"/>
          <w:szCs w:val="32"/>
        </w:rPr>
        <w:t>万元。其中：中央财政拨款</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万元，自治区财政拨款</w:t>
      </w:r>
      <w:r>
        <w:rPr>
          <w:rStyle w:val="a8"/>
          <w:rFonts w:ascii="楷体" w:eastAsia="楷体" w:hAnsi="楷体" w:hint="eastAsia"/>
          <w:spacing w:val="-4"/>
          <w:sz w:val="32"/>
          <w:szCs w:val="32"/>
        </w:rPr>
        <w:t>300</w:t>
      </w:r>
      <w:r>
        <w:rPr>
          <w:rStyle w:val="a8"/>
          <w:rFonts w:ascii="楷体" w:eastAsia="楷体" w:hAnsi="楷体" w:hint="eastAsia"/>
          <w:spacing w:val="-4"/>
          <w:sz w:val="32"/>
          <w:szCs w:val="32"/>
        </w:rPr>
        <w:t>万元，本级财政拨款</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万元，上年结余</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）项目资金实际使用情况分析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日，绿色矿山评估与核查项目，实际支出</w:t>
      </w:r>
      <w:r>
        <w:rPr>
          <w:rStyle w:val="a8"/>
          <w:rFonts w:ascii="楷体" w:eastAsia="楷体" w:hAnsi="楷体" w:hint="eastAsia"/>
          <w:spacing w:val="-4"/>
          <w:sz w:val="32"/>
          <w:szCs w:val="32"/>
        </w:rPr>
        <w:t>300</w:t>
      </w:r>
      <w:r>
        <w:rPr>
          <w:rStyle w:val="a8"/>
          <w:rFonts w:ascii="楷体" w:eastAsia="楷体" w:hAnsi="楷体" w:hint="eastAsia"/>
          <w:spacing w:val="-4"/>
          <w:sz w:val="32"/>
          <w:szCs w:val="32"/>
        </w:rPr>
        <w:t>万元，预算执行率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。主要用于自治区</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家绿色矿山建设评估以及</w:t>
      </w:r>
      <w:r>
        <w:rPr>
          <w:rStyle w:val="a8"/>
          <w:rFonts w:ascii="楷体" w:eastAsia="楷体" w:hAnsi="楷体" w:hint="eastAsia"/>
          <w:spacing w:val="-4"/>
          <w:sz w:val="32"/>
          <w:szCs w:val="32"/>
        </w:rPr>
        <w:t>26</w:t>
      </w:r>
      <w:r>
        <w:rPr>
          <w:rStyle w:val="a8"/>
          <w:rFonts w:ascii="楷体" w:eastAsia="楷体" w:hAnsi="楷体" w:hint="eastAsia"/>
          <w:spacing w:val="-4"/>
          <w:sz w:val="32"/>
          <w:szCs w:val="32"/>
        </w:rPr>
        <w:t>家绿色矿山核查工作。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绿色矿山评估与核查项目预算总额</w:t>
      </w:r>
      <w:r>
        <w:rPr>
          <w:rStyle w:val="a8"/>
          <w:rFonts w:ascii="楷体" w:eastAsia="楷体" w:hAnsi="楷体" w:hint="eastAsia"/>
          <w:spacing w:val="-4"/>
          <w:sz w:val="32"/>
          <w:szCs w:val="32"/>
        </w:rPr>
        <w:t>300.00</w:t>
      </w:r>
      <w:r>
        <w:rPr>
          <w:rStyle w:val="a8"/>
          <w:rFonts w:ascii="楷体" w:eastAsia="楷体" w:hAnsi="楷体" w:hint="eastAsia"/>
          <w:spacing w:val="-4"/>
          <w:sz w:val="32"/>
          <w:szCs w:val="32"/>
        </w:rPr>
        <w:t>万元，为财政拨款，其中绿色矿山第三方评估预算</w:t>
      </w:r>
      <w:r>
        <w:rPr>
          <w:rStyle w:val="a8"/>
          <w:rFonts w:ascii="楷体" w:eastAsia="楷体" w:hAnsi="楷体" w:hint="eastAsia"/>
          <w:spacing w:val="-4"/>
          <w:sz w:val="32"/>
          <w:szCs w:val="32"/>
        </w:rPr>
        <w:t>200.00</w:t>
      </w:r>
      <w:r>
        <w:rPr>
          <w:rStyle w:val="a8"/>
          <w:rFonts w:ascii="楷体" w:eastAsia="楷体" w:hAnsi="楷体" w:hint="eastAsia"/>
          <w:spacing w:val="-4"/>
          <w:sz w:val="32"/>
          <w:szCs w:val="32"/>
        </w:rPr>
        <w:t>万元，绿色矿山核查预算</w:t>
      </w:r>
      <w:r>
        <w:rPr>
          <w:rStyle w:val="a8"/>
          <w:rFonts w:ascii="楷体" w:eastAsia="楷体" w:hAnsi="楷体" w:hint="eastAsia"/>
          <w:spacing w:val="-4"/>
          <w:sz w:val="32"/>
          <w:szCs w:val="32"/>
        </w:rPr>
        <w:t>100.00</w:t>
      </w:r>
      <w:r>
        <w:rPr>
          <w:rStyle w:val="a8"/>
          <w:rFonts w:ascii="楷体" w:eastAsia="楷体" w:hAnsi="楷体" w:hint="eastAsia"/>
          <w:spacing w:val="-4"/>
          <w:sz w:val="32"/>
          <w:szCs w:val="32"/>
        </w:rPr>
        <w:t>万元。截至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7</w:t>
      </w:r>
      <w:r>
        <w:rPr>
          <w:rStyle w:val="a8"/>
          <w:rFonts w:ascii="楷体" w:eastAsia="楷体" w:hAnsi="楷体" w:hint="eastAsia"/>
          <w:spacing w:val="-4"/>
          <w:sz w:val="32"/>
          <w:szCs w:val="32"/>
        </w:rPr>
        <w:t>日，委托第三方评估机构按要求完成了</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个绿色矿山评估任务，</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日完成支付项目委托业务费</w:t>
      </w:r>
      <w:r>
        <w:rPr>
          <w:rStyle w:val="a8"/>
          <w:rFonts w:ascii="楷体" w:eastAsia="楷体" w:hAnsi="楷体" w:hint="eastAsia"/>
          <w:spacing w:val="-4"/>
          <w:sz w:val="32"/>
          <w:szCs w:val="32"/>
        </w:rPr>
        <w:t>200.00</w:t>
      </w:r>
      <w:r>
        <w:rPr>
          <w:rStyle w:val="a8"/>
          <w:rFonts w:ascii="楷体" w:eastAsia="楷体" w:hAnsi="楷体" w:hint="eastAsia"/>
          <w:spacing w:val="-4"/>
          <w:sz w:val="32"/>
          <w:szCs w:val="32"/>
        </w:rPr>
        <w:t>万元；截至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日，绿色矿业</w:t>
      </w:r>
      <w:r>
        <w:rPr>
          <w:rStyle w:val="a8"/>
          <w:rFonts w:ascii="楷体" w:eastAsia="楷体" w:hAnsi="楷体" w:hint="eastAsia"/>
          <w:spacing w:val="-4"/>
          <w:sz w:val="32"/>
          <w:szCs w:val="32"/>
        </w:rPr>
        <w:lastRenderedPageBreak/>
        <w:t>技术室完成了</w:t>
      </w:r>
      <w:r>
        <w:rPr>
          <w:rStyle w:val="a8"/>
          <w:rFonts w:ascii="楷体" w:eastAsia="楷体" w:hAnsi="楷体" w:hint="eastAsia"/>
          <w:spacing w:val="-4"/>
          <w:sz w:val="32"/>
          <w:szCs w:val="32"/>
        </w:rPr>
        <w:t>26</w:t>
      </w:r>
      <w:r>
        <w:rPr>
          <w:rStyle w:val="a8"/>
          <w:rFonts w:ascii="楷体" w:eastAsia="楷体" w:hAnsi="楷体" w:hint="eastAsia"/>
          <w:spacing w:val="-4"/>
          <w:sz w:val="32"/>
          <w:szCs w:val="32"/>
        </w:rPr>
        <w:t>个绿色矿山实地核查任务，完成核查期间其他交通费、专家劳务费以及人员差旅费支付共计</w:t>
      </w:r>
      <w:r>
        <w:rPr>
          <w:rStyle w:val="a8"/>
          <w:rFonts w:ascii="楷体" w:eastAsia="楷体" w:hAnsi="楷体" w:hint="eastAsia"/>
          <w:spacing w:val="-4"/>
          <w:sz w:val="32"/>
          <w:szCs w:val="32"/>
        </w:rPr>
        <w:t>100.00</w:t>
      </w:r>
      <w:r>
        <w:rPr>
          <w:rStyle w:val="a8"/>
          <w:rFonts w:ascii="楷体" w:eastAsia="楷体" w:hAnsi="楷体" w:hint="eastAsia"/>
          <w:spacing w:val="-4"/>
          <w:sz w:val="32"/>
          <w:szCs w:val="32"/>
        </w:rPr>
        <w:t>万元。</w:t>
      </w:r>
    </w:p>
    <w:p w:rsidR="00BD5EE8" w:rsidRDefault="002065E9">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（二）项目绩效目标。包括总体目标和阶段性目标。</w:t>
      </w:r>
    </w:p>
    <w:p w:rsidR="00BD5EE8" w:rsidRDefault="002065E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项目绩效总体目标</w:t>
      </w:r>
      <w:r>
        <w:rPr>
          <w:rStyle w:val="a8"/>
          <w:rFonts w:ascii="楷体" w:eastAsia="楷体" w:hAnsi="楷体" w:hint="eastAsia"/>
          <w:spacing w:val="-4"/>
          <w:sz w:val="32"/>
          <w:szCs w:val="32"/>
        </w:rPr>
        <w:br/>
        <w:t>2025</w:t>
      </w:r>
      <w:r>
        <w:rPr>
          <w:rStyle w:val="a8"/>
          <w:rFonts w:ascii="楷体" w:eastAsia="楷体" w:hAnsi="楷体" w:hint="eastAsia"/>
          <w:spacing w:val="-4"/>
          <w:sz w:val="32"/>
          <w:szCs w:val="32"/>
        </w:rPr>
        <w:t>年完成</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家绿色矿山评估工作，对评估通过的绿色矿山和已建成绿色矿山进行实地抽查，提升自治区绿色矿山数量，促进自</w:t>
      </w:r>
      <w:r>
        <w:rPr>
          <w:rStyle w:val="a8"/>
          <w:rFonts w:ascii="楷体" w:eastAsia="楷体" w:hAnsi="楷体" w:hint="eastAsia"/>
          <w:spacing w:val="-4"/>
          <w:sz w:val="32"/>
          <w:szCs w:val="32"/>
        </w:rPr>
        <w:t>治区矿业绿色高质量发展。</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年完成</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家绿色矿山评估工作，抽取</w:t>
      </w:r>
      <w:r>
        <w:rPr>
          <w:rStyle w:val="a8"/>
          <w:rFonts w:ascii="楷体" w:eastAsia="楷体" w:hAnsi="楷体" w:hint="eastAsia"/>
          <w:spacing w:val="-4"/>
          <w:sz w:val="32"/>
          <w:szCs w:val="32"/>
        </w:rPr>
        <w:t>26</w:t>
      </w:r>
      <w:r>
        <w:rPr>
          <w:rStyle w:val="a8"/>
          <w:rFonts w:ascii="楷体" w:eastAsia="楷体" w:hAnsi="楷体" w:hint="eastAsia"/>
          <w:spacing w:val="-4"/>
          <w:sz w:val="32"/>
          <w:szCs w:val="32"/>
        </w:rPr>
        <w:t>家绿色矿山进行实地核查。</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年新增</w:t>
      </w:r>
      <w:r>
        <w:rPr>
          <w:rStyle w:val="a8"/>
          <w:rFonts w:ascii="楷体" w:eastAsia="楷体" w:hAnsi="楷体" w:hint="eastAsia"/>
          <w:spacing w:val="-4"/>
          <w:sz w:val="32"/>
          <w:szCs w:val="32"/>
        </w:rPr>
        <w:t>45</w:t>
      </w:r>
      <w:r>
        <w:rPr>
          <w:rStyle w:val="a8"/>
          <w:rFonts w:ascii="楷体" w:eastAsia="楷体" w:hAnsi="楷体" w:hint="eastAsia"/>
          <w:spacing w:val="-4"/>
          <w:sz w:val="32"/>
          <w:szCs w:val="32"/>
        </w:rPr>
        <w:t>家绿色矿山。</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阶段性目标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根据《预算法》、《财政支出绩效评价管理暂行办法》（财预〔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号）、《中共中央国务院关于全面实施预算绩效管理的意见》（中发〔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34</w:t>
      </w:r>
      <w:r>
        <w:rPr>
          <w:rStyle w:val="a8"/>
          <w:rFonts w:ascii="楷体" w:eastAsia="楷体" w:hAnsi="楷体" w:hint="eastAsia"/>
          <w:spacing w:val="-4"/>
          <w:sz w:val="32"/>
          <w:szCs w:val="32"/>
        </w:rPr>
        <w:t>号）、《自治区党委自治区人民政府关于全面实施预算绩效管理的实施意见》（新党发〔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号）的规定，绩效目标如下：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）项目产出指标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①数量指标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年完成评估绿色矿山数”指标，预期指标值为大于等于</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“核查绿色矿山数”指标，预期指标值为大于等于</w:t>
      </w:r>
      <w:r>
        <w:rPr>
          <w:rStyle w:val="a8"/>
          <w:rFonts w:ascii="楷体" w:eastAsia="楷体" w:hAnsi="楷体" w:hint="eastAsia"/>
          <w:spacing w:val="-4"/>
          <w:sz w:val="32"/>
          <w:szCs w:val="32"/>
        </w:rPr>
        <w:t>26</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②质量指标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个绿色矿山评估报告采信率”指标，预期指标值为大于等于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③时效指标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“绿色矿山评估与核查完成”指标，预期指标值为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日前完成任务；</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）项目成本指标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“绿色矿山评估成本”指标，预期指标值为小于等于</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“绿色矿山核查成本”指标，预期指标值为小于等于</w:t>
      </w:r>
      <w:r>
        <w:rPr>
          <w:rStyle w:val="a8"/>
          <w:rFonts w:ascii="楷体" w:eastAsia="楷体" w:hAnsi="楷体" w:hint="eastAsia"/>
          <w:spacing w:val="-4"/>
          <w:sz w:val="32"/>
          <w:szCs w:val="32"/>
        </w:rPr>
        <w:t>3.846</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“达到绿色矿山标准的矿山”指标，预期指标值为增加不少于</w:t>
      </w:r>
      <w:r>
        <w:rPr>
          <w:rStyle w:val="a8"/>
          <w:rFonts w:ascii="楷体" w:eastAsia="楷体" w:hAnsi="楷体" w:hint="eastAsia"/>
          <w:spacing w:val="-4"/>
          <w:sz w:val="32"/>
          <w:szCs w:val="32"/>
        </w:rPr>
        <w:t>4</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w:t>
      </w:r>
    </w:p>
    <w:p w:rsidR="00BD5EE8" w:rsidRDefault="002065E9">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BD5EE8" w:rsidRDefault="002065E9">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BD5EE8" w:rsidRDefault="002065E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评价目的</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了全面深入地了解该项目在预算编制方面的合理性、资金使用方面的合规性、项目管理过程中的规范性以及项目目标实现的具体情况等关键指标，通过本次绩效评价来系统地总结项目完成过程中的经验教训。旨在促进项目经验的有效转化和应用，同时为后期类似项目的科学管理提供具有实际操作性的参考建议，确保项目管理的持续改进和优化。</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评价对象</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本次绩效评价活动严格遵循了财政部发布的《项目支出绩效评价管理办法》（财预〔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号）以及自治区财政厅</w:t>
      </w:r>
      <w:r>
        <w:rPr>
          <w:rStyle w:val="a8"/>
          <w:rFonts w:ascii="楷体" w:eastAsia="楷体" w:hAnsi="楷体" w:hint="eastAsia"/>
          <w:spacing w:val="-4"/>
          <w:sz w:val="32"/>
          <w:szCs w:val="32"/>
        </w:rPr>
        <w:t>颁布的《自治区财政支出绩效评价管理暂行办法》（新财预〔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号）等相关政策文件与规定。评价的核心对象是针对项目支出的预算资金，重点考察项目实施中的绩效目标达标情况。整个评价过程旨在促进预算单位能够更有效地完成特定的工作任务目标，</w:t>
      </w:r>
      <w:r>
        <w:rPr>
          <w:rStyle w:val="a8"/>
          <w:rFonts w:ascii="楷体" w:eastAsia="楷体" w:hAnsi="楷体" w:hint="eastAsia"/>
          <w:spacing w:val="-4"/>
          <w:sz w:val="32"/>
          <w:szCs w:val="32"/>
        </w:rPr>
        <w:lastRenderedPageBreak/>
        <w:t>通过这样的绩效评价活动，可以确保财政资金的合理使用和项目目标的顺利实现。</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评价范围</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本次评价范围涵盖项目总体绩效目标、各项绩效指标完成情况以及预算执行情况。覆盖项目预算资金支出的所有内容进行评价。包括项目决策、项目实施和项目成果验收流程等。</w:t>
      </w:r>
    </w:p>
    <w:p w:rsidR="00BD5EE8" w:rsidRDefault="002065E9">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w:t>
      </w:r>
      <w:r>
        <w:rPr>
          <w:rStyle w:val="a8"/>
          <w:rFonts w:ascii="楷体" w:eastAsia="楷体" w:hAnsi="楷体" w:hint="eastAsia"/>
          <w:spacing w:val="-4"/>
          <w:sz w:val="32"/>
          <w:szCs w:val="32"/>
        </w:rPr>
        <w:t>体系（附表说明）、评价方法、评价标准等。</w:t>
      </w:r>
    </w:p>
    <w:p w:rsidR="00BD5EE8" w:rsidRDefault="002065E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本次评价工作坚持定量优先、定量与定性相结合的方式，始终遵循科学规范、公正公开、分级分类、绩效相关的基本原则。通过对《</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新一轮找矿突破战略行动自治区财政配套资金地质勘查项目》项目资金进行绩效评价，我们旨在深入了解项目资金的使用情况和项目管理的现状、取得的成绩以及产生的效益。通过这一过程，我们能够分析在政策执行、预算资金安排、项目实施等方面存在的问题，并据此提出具有针对性的建议。本次绩效评价所遵循的原则包括：</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）科学公正。我们致力于</w:t>
      </w:r>
      <w:r>
        <w:rPr>
          <w:rStyle w:val="a8"/>
          <w:rFonts w:ascii="楷体" w:eastAsia="楷体" w:hAnsi="楷体" w:hint="eastAsia"/>
          <w:spacing w:val="-4"/>
          <w:sz w:val="32"/>
          <w:szCs w:val="32"/>
        </w:rPr>
        <w:t>运用科学合理的方法，按照规范的程序，对项目绩效进行客观、公正的反映。这要求我们在评价过程中，必须坚持科学的态度和方法，确保评价结果的真实性和准确性。</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以确保评价的独立</w:t>
      </w:r>
      <w:r>
        <w:rPr>
          <w:rStyle w:val="a8"/>
          <w:rFonts w:ascii="楷体" w:eastAsia="楷体" w:hAnsi="楷体" w:hint="eastAsia"/>
          <w:spacing w:val="-4"/>
          <w:sz w:val="32"/>
          <w:szCs w:val="32"/>
        </w:rPr>
        <w:lastRenderedPageBreak/>
        <w:t>性和客观性。</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）激励约束。绩效评价结果应与预算安排、政策调整、改进管理实质性挂钩，体现奖优罚劣和激励相容导向，有效要安排、</w:t>
      </w:r>
      <w:r>
        <w:rPr>
          <w:rStyle w:val="a8"/>
          <w:rFonts w:ascii="楷体" w:eastAsia="楷体" w:hAnsi="楷体" w:hint="eastAsia"/>
          <w:spacing w:val="-4"/>
          <w:sz w:val="32"/>
          <w:szCs w:val="32"/>
        </w:rPr>
        <w:t>低效要压减、无效要问责。这将有助于激发项目单位的积极性，提高资金使用效率，确保项目目标的实现。</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）公开透明。绩效评价结果应依法依规公开，并自觉接受社会监督。这不仅有助于增强评价工作的透明度，也有利于提升公众对政府工作的信任度，同时为社会公众提供参与监督的渠道。</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评价指标体系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绩效评价指标体系是根据《预算绩效评价共性指标体系框架》（财预〔</w:t>
      </w:r>
      <w:r>
        <w:rPr>
          <w:rStyle w:val="a8"/>
          <w:rFonts w:ascii="楷体" w:eastAsia="楷体" w:hAnsi="楷体" w:hint="eastAsia"/>
          <w:spacing w:val="-4"/>
          <w:sz w:val="32"/>
          <w:szCs w:val="32"/>
        </w:rPr>
        <w:t>2013</w:t>
      </w:r>
      <w:r>
        <w:rPr>
          <w:rStyle w:val="a8"/>
          <w:rFonts w:ascii="楷体" w:eastAsia="楷体" w:hAnsi="楷体" w:hint="eastAsia"/>
          <w:spacing w:val="-4"/>
          <w:sz w:val="32"/>
          <w:szCs w:val="32"/>
        </w:rPr>
        <w:t>〕</w:t>
      </w:r>
      <w:r>
        <w:rPr>
          <w:rStyle w:val="a8"/>
          <w:rFonts w:ascii="楷体" w:eastAsia="楷体" w:hAnsi="楷体" w:hint="eastAsia"/>
          <w:spacing w:val="-4"/>
          <w:sz w:val="32"/>
          <w:szCs w:val="32"/>
        </w:rPr>
        <w:t>53</w:t>
      </w:r>
      <w:r>
        <w:rPr>
          <w:rStyle w:val="a8"/>
          <w:rFonts w:ascii="楷体" w:eastAsia="楷体" w:hAnsi="楷体" w:hint="eastAsia"/>
          <w:spacing w:val="-4"/>
          <w:sz w:val="32"/>
          <w:szCs w:val="32"/>
        </w:rPr>
        <w:t>号）、《自治区党委</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号）、《关于印发〈项目支出绩效评价管理办法〉的</w:t>
      </w:r>
      <w:r>
        <w:rPr>
          <w:rStyle w:val="a8"/>
          <w:rFonts w:ascii="楷体" w:eastAsia="楷体" w:hAnsi="楷体" w:hint="eastAsia"/>
          <w:spacing w:val="-4"/>
          <w:sz w:val="32"/>
          <w:szCs w:val="32"/>
        </w:rPr>
        <w:t>通知》（财预﹝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号）等文件精神，结合专项特点，在与专家组、项目充分协商的基础上，评价工作组细化了该项目的绩效评价指标体系（详见附表</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该指标体系的一级指标包括：决策、过程、产出、效益。这些一级指标是绩效评价的核心，它们涵盖了项目从立项到实施，再到产出和效益的全过程。</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二级指标则进一步细化为：项目立项、绩效目标、资金投入、资金管理、组织实施、产出数量、产出质量、产出时效、产出成本、项目效益。这些指标从不同的角度对项目进行评价，确保项目的各个方面都得到充分的考虑和评估。</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三级指标则更加具体，包括：立项依据充分性、立项程序</w:t>
      </w:r>
      <w:r>
        <w:rPr>
          <w:rStyle w:val="a8"/>
          <w:rFonts w:ascii="楷体" w:eastAsia="楷体" w:hAnsi="楷体" w:hint="eastAsia"/>
          <w:spacing w:val="-4"/>
          <w:sz w:val="32"/>
          <w:szCs w:val="32"/>
        </w:rPr>
        <w:lastRenderedPageBreak/>
        <w:t>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这些指标从细节上对项目的各个方面进行评价，确保项目的每一个环节都符合预期的目标和要求。</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绩效评价方法</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在本次绩效评价过程中，我们坚持了简便而有效的原则，选用了多种评价方法，以确保评价结果的全面性和准确</w:t>
      </w:r>
      <w:r>
        <w:rPr>
          <w:rStyle w:val="a8"/>
          <w:rFonts w:ascii="楷体" w:eastAsia="楷体" w:hAnsi="楷体" w:hint="eastAsia"/>
          <w:spacing w:val="-4"/>
          <w:sz w:val="32"/>
          <w:szCs w:val="32"/>
        </w:rPr>
        <w:t>性。这些方法涵盖成本效益分析法、比较法、综合指数评价法及公众评判法等，具体评价手段阐述如下：</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）成本效益分析法，这一方法的核心在于将一定时期内项目的总成本与总效益进行对比分析。该分析能够量化评估绩效目标的实现程度，为决策提供坚实的数据支撑。</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比较法，通过系统地整理和分析本项目相关的资料和数据，我们可以评价数量指标的完成情况。此外，通过深入分析项目的实施情况与绩效目标的实现情况，我们可以对项目实施的效果进行评价。此外，我们将分析项目资金的使用成效，以此评估预算分配的合理性，保障资</w:t>
      </w:r>
      <w:r>
        <w:rPr>
          <w:rStyle w:val="a8"/>
          <w:rFonts w:ascii="楷体" w:eastAsia="楷体" w:hAnsi="楷体" w:hint="eastAsia"/>
          <w:spacing w:val="-4"/>
          <w:sz w:val="32"/>
          <w:szCs w:val="32"/>
        </w:rPr>
        <w:t>金高效运用。</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综合指数评价法，这种方法涉及将各项绩效指标的实际水平与既定的评价标准值进行对照。通过分别计算各项指标的评价得分，并按照设定的各项指标权数计算出综合评价得分，我们可以对绩效目标实现情况进行深入分析和评价。</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）公众评判法，评价组通过实地访谈和远程访谈相结合的方式，对本项目的实施情况进行全面而深入的调研。我们重</w:t>
      </w:r>
      <w:r>
        <w:rPr>
          <w:rStyle w:val="a8"/>
          <w:rFonts w:ascii="楷体" w:eastAsia="楷体" w:hAnsi="楷体" w:hint="eastAsia"/>
          <w:spacing w:val="-4"/>
          <w:sz w:val="32"/>
          <w:szCs w:val="32"/>
        </w:rPr>
        <w:lastRenderedPageBreak/>
        <w:t>点关注资金分配、管理、使用及制度建设与执行，确保对项目各方面有全面认知。此外，我们还采用问卷调查的方式，对项目的受益对象进行满意度调查，通过收集和分析这些数据，我</w:t>
      </w:r>
      <w:r>
        <w:rPr>
          <w:rStyle w:val="a8"/>
          <w:rFonts w:ascii="楷体" w:eastAsia="楷体" w:hAnsi="楷体" w:hint="eastAsia"/>
          <w:spacing w:val="-4"/>
          <w:sz w:val="32"/>
          <w:szCs w:val="32"/>
        </w:rPr>
        <w:t>们可以进行综合评价，从而为项目的持续改进提供依据。</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4.</w:t>
      </w:r>
      <w:r>
        <w:rPr>
          <w:rStyle w:val="a8"/>
          <w:rFonts w:ascii="楷体" w:eastAsia="楷体" w:hAnsi="楷体" w:hint="eastAsia"/>
          <w:spacing w:val="-4"/>
          <w:sz w:val="32"/>
          <w:szCs w:val="32"/>
        </w:rPr>
        <w:t>绩效评价标准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p>
    <w:p w:rsidR="00BD5EE8" w:rsidRDefault="002065E9">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BD5EE8" w:rsidRDefault="002065E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本次评价成立了评价工作组，成员如下：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汪涛、乔华、李卫东、阮文琴、蔡钊、刘玉霞、胡小亮、马文静</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本次评价设计了评价方案、评价指标体系，通过资料分析、调研、访谈满意度调查等方式形成评价结论，在与项目单位沟通后确定评价意见，并出具评价报告。</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第一阶段：前期准备。认真学习相关要求与规定，成立绩效评价工作组，作为绩效评价工作具体实施机构。成员构成如下：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汪涛任评价组组长，职务为评价中心党支部书记，绩效评价工作职责为负责全盘工作。</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乔华、李卫东评价组副组长，绩效评价工作职责为对项目实施结果进行考核。</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 xml:space="preserve">    </w:t>
      </w:r>
      <w:r>
        <w:rPr>
          <w:rStyle w:val="a8"/>
          <w:rFonts w:ascii="楷体" w:eastAsia="楷体" w:hAnsi="楷体" w:hint="eastAsia"/>
          <w:spacing w:val="-4"/>
          <w:sz w:val="32"/>
          <w:szCs w:val="32"/>
        </w:rPr>
        <w:t>阮文琴、蔡钊任评价组成员，绩效评价工作职责为负责提供项目自评资料。</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刘玉霞</w:t>
      </w:r>
      <w:r>
        <w:rPr>
          <w:rStyle w:val="a8"/>
          <w:rFonts w:ascii="楷体" w:eastAsia="楷体" w:hAnsi="楷体" w:hint="eastAsia"/>
          <w:spacing w:val="-4"/>
          <w:sz w:val="32"/>
          <w:szCs w:val="32"/>
        </w:rPr>
        <w:t>、胡小亮、马文静任评价组成员，绩效评价工作职责为负责资料审核汇总等工作。</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第二阶段：组织实施。经评价组通过实地调研等方式，采用综合分析法对项目的决策、管理、绩效进行的综合评价分析。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第三阶段：分析评价。首先按照指标体系进行定量、定性分析。其次开展量化打分、综合评价工作，形成初步评价结论。最后归纳整体项目情况与存在问题，撰写部门绩效评价报告。</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第四阶段：撰写与提交评价报告</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项目撰写绩效评价报告，按照财政局大平台绩效系统中统一格式和文本框架撰写绩效评价报告。</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第五阶段：归集档案</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建立和</w:t>
      </w:r>
      <w:r>
        <w:rPr>
          <w:rStyle w:val="a8"/>
          <w:rFonts w:ascii="楷体" w:eastAsia="楷体" w:hAnsi="楷体" w:hint="eastAsia"/>
          <w:spacing w:val="-4"/>
          <w:sz w:val="32"/>
          <w:szCs w:val="32"/>
        </w:rPr>
        <w:t>落实档案管理制度，将项目相关资料存档，包括但不限于：评价项目基本情况和相关文件、评价实施方案、项目支付资料等相关档案。</w:t>
      </w:r>
    </w:p>
    <w:p w:rsidR="00BD5EE8" w:rsidRDefault="002065E9">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BD5EE8" w:rsidRDefault="002065E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（一）综合评价情况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依据《项目支出绩效评价管理办法》财预〔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文件精神，评价工作组从绩效目标、绩效控制、产出及效果进行评价分析。绩效目标分析涵盖明确性、合理性和细化程度；绩效控制则关注资金使用管理、项目组织及实施情况；项目产出及效果评价侧重于经济性、效率性和效益性。本次绩效评价采用评分与评级结合，分值和等级依据评价内容灵活设定。总分一般设置为</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0</w:t>
      </w:r>
      <w:r>
        <w:rPr>
          <w:rStyle w:val="a8"/>
          <w:rFonts w:ascii="楷体" w:eastAsia="楷体" w:hAnsi="楷体" w:hint="eastAsia"/>
          <w:spacing w:val="-4"/>
          <w:sz w:val="32"/>
          <w:szCs w:val="32"/>
        </w:rPr>
        <w:t>分，其中项目决策</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分、项目过程</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w:t>
      </w:r>
      <w:r>
        <w:rPr>
          <w:rStyle w:val="a8"/>
          <w:rFonts w:ascii="楷体" w:eastAsia="楷体" w:hAnsi="楷体" w:hint="eastAsia"/>
          <w:spacing w:val="-4"/>
          <w:sz w:val="32"/>
          <w:szCs w:val="32"/>
        </w:rPr>
        <w:lastRenderedPageBreak/>
        <w:t>目产出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分、项目效益</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分。评价结果分为优、良、中、差四个等级：优（</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分）；良（</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分）；中（</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分）；差（</w:t>
      </w:r>
      <w:r>
        <w:rPr>
          <w:rStyle w:val="a8"/>
          <w:rFonts w:ascii="楷体" w:eastAsia="楷体" w:hAnsi="楷体" w:hint="eastAsia"/>
          <w:spacing w:val="-4"/>
          <w:sz w:val="32"/>
          <w:szCs w:val="32"/>
        </w:rPr>
        <w:t>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评价组对照项目绩效评价指标体系，从决策、过程、产出和效益四个维度，通过查阅资料和座谈咨询等方式，对“新疆维吾尔自治区绿色矿山评估与核查”项目绩效进行客观公正的评价，本项目总得分为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分，绩效评级属于“优”。其中，决策类指标得分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分，过程类指标得分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分，产出类指标得分</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分，效益类</w:t>
      </w:r>
      <w:r>
        <w:rPr>
          <w:rStyle w:val="a8"/>
          <w:rFonts w:ascii="楷体" w:eastAsia="楷体" w:hAnsi="楷体" w:hint="eastAsia"/>
          <w:spacing w:val="-4"/>
          <w:sz w:val="32"/>
          <w:szCs w:val="32"/>
        </w:rPr>
        <w:t>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（二）综合评价结论</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经评价，本项目达到了年初设立的绩效目标，在实施过程中取得了良好的成效，具体表现在：截至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日，完成了</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个自治区绿色矿山评估并完成评估报告编制，完成了项目资金支付</w:t>
      </w:r>
      <w:r>
        <w:rPr>
          <w:rStyle w:val="a8"/>
          <w:rFonts w:ascii="楷体" w:eastAsia="楷体" w:hAnsi="楷体" w:hint="eastAsia"/>
          <w:spacing w:val="-4"/>
          <w:sz w:val="32"/>
          <w:szCs w:val="32"/>
        </w:rPr>
        <w:t>200</w:t>
      </w:r>
      <w:r>
        <w:rPr>
          <w:rStyle w:val="a8"/>
          <w:rFonts w:ascii="楷体" w:eastAsia="楷体" w:hAnsi="楷体" w:hint="eastAsia"/>
          <w:spacing w:val="-4"/>
          <w:sz w:val="32"/>
          <w:szCs w:val="32"/>
        </w:rPr>
        <w:t>万元；完成了</w:t>
      </w:r>
      <w:r>
        <w:rPr>
          <w:rStyle w:val="a8"/>
          <w:rFonts w:ascii="楷体" w:eastAsia="楷体" w:hAnsi="楷体" w:hint="eastAsia"/>
          <w:spacing w:val="-4"/>
          <w:sz w:val="32"/>
          <w:szCs w:val="32"/>
        </w:rPr>
        <w:t>26</w:t>
      </w:r>
      <w:r>
        <w:rPr>
          <w:rStyle w:val="a8"/>
          <w:rFonts w:ascii="楷体" w:eastAsia="楷体" w:hAnsi="楷体" w:hint="eastAsia"/>
          <w:spacing w:val="-4"/>
          <w:sz w:val="32"/>
          <w:szCs w:val="32"/>
        </w:rPr>
        <w:t>个自治区绿色矿山复核，完成了项目资金支付</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万元。</w:t>
      </w:r>
    </w:p>
    <w:p w:rsidR="00BD5EE8" w:rsidRDefault="002065E9">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r>
        <w:rPr>
          <w:rStyle w:val="a8"/>
          <w:rFonts w:ascii="黑体" w:eastAsia="黑体" w:hAnsi="黑体" w:hint="eastAsia"/>
          <w:b w:val="0"/>
          <w:spacing w:val="-4"/>
          <w:sz w:val="32"/>
          <w:szCs w:val="32"/>
        </w:rPr>
        <w:t xml:space="preserve"> </w:t>
      </w:r>
    </w:p>
    <w:p w:rsidR="00BD5EE8" w:rsidRDefault="002065E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BD5EE8" w:rsidRDefault="002065E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（一）项目决策情况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项目决策类指标包括项目立项、绩效目标和资金投入三方面的内容，由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 xml:space="preserve"> 20 </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项目立项情况分析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）立项依据充分性：《中华人民共和国矿产资源法》（</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8</w:t>
      </w:r>
      <w:r>
        <w:rPr>
          <w:rStyle w:val="a8"/>
          <w:rFonts w:ascii="楷体" w:eastAsia="楷体" w:hAnsi="楷体" w:hint="eastAsia"/>
          <w:spacing w:val="-4"/>
          <w:sz w:val="32"/>
          <w:szCs w:val="32"/>
        </w:rPr>
        <w:t>日第十四届全国人民代表大会常务委员会第十二次会议修订</w:t>
      </w:r>
      <w:r>
        <w:rPr>
          <w:rStyle w:val="a8"/>
          <w:rFonts w:ascii="楷体" w:eastAsia="楷体" w:hAnsi="楷体" w:hint="eastAsia"/>
          <w:spacing w:val="-4"/>
          <w:sz w:val="32"/>
          <w:szCs w:val="32"/>
        </w:rPr>
        <w:t>)</w:t>
      </w:r>
      <w:r>
        <w:rPr>
          <w:rStyle w:val="a8"/>
          <w:rFonts w:ascii="楷体" w:eastAsia="楷体" w:hAnsi="楷体" w:hint="eastAsia"/>
          <w:spacing w:val="-4"/>
          <w:sz w:val="32"/>
          <w:szCs w:val="32"/>
        </w:rPr>
        <w:t>、《自然资源部</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生态环境部</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财政部</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国家市场监督管理</w:t>
      </w:r>
      <w:r>
        <w:rPr>
          <w:rStyle w:val="a8"/>
          <w:rFonts w:ascii="楷体" w:eastAsia="楷体" w:hAnsi="楷体" w:hint="eastAsia"/>
          <w:spacing w:val="-4"/>
          <w:sz w:val="32"/>
          <w:szCs w:val="32"/>
        </w:rPr>
        <w:lastRenderedPageBreak/>
        <w:t>总局</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国家金融监督管理总局</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中国证券监督管理委员会</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国家林业和草原局关于进一步加强绿色矿山建设的通知》</w:t>
      </w:r>
      <w:r>
        <w:rPr>
          <w:rStyle w:val="a8"/>
          <w:rFonts w:ascii="楷体" w:eastAsia="楷体" w:hAnsi="楷体" w:hint="eastAsia"/>
          <w:spacing w:val="-4"/>
          <w:sz w:val="32"/>
          <w:szCs w:val="32"/>
        </w:rPr>
        <w:t>(</w:t>
      </w:r>
      <w:r>
        <w:rPr>
          <w:rStyle w:val="a8"/>
          <w:rFonts w:ascii="楷体" w:eastAsia="楷体" w:hAnsi="楷体" w:hint="eastAsia"/>
          <w:spacing w:val="-4"/>
          <w:sz w:val="32"/>
          <w:szCs w:val="32"/>
        </w:rPr>
        <w:t>自然资规〔</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号）并结合自治区地质勘查质量评价中心职责组织实施。围绕自治区地质勘查质量评价中心年度工作重点和工作计划制定经费预算，根据评分标准，该指标不扣分，得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）立项程序规范性：根据决策</w:t>
      </w:r>
      <w:r>
        <w:rPr>
          <w:rStyle w:val="a8"/>
          <w:rFonts w:ascii="楷体" w:eastAsia="楷体" w:hAnsi="楷体" w:hint="eastAsia"/>
          <w:spacing w:val="-4"/>
          <w:sz w:val="32"/>
          <w:szCs w:val="32"/>
        </w:rPr>
        <w:t>依据编制工作计划和经费预算，经过与自治区地质勘查质量评价中心领导小组进行沟通、筛选确定经费预算计划，上主任办公会研究确定最终预算方案，根据评分标准，该指标不扣分，得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绩效目标情况分析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）绩效目标合理性：①该项目已设置年度绩效目标，具体内容为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年完成</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家绿色矿山评估工作，对评估通过的绿色矿山和已建成绿色矿山进行实地抽查，提升自治区绿色矿山数量，促进自治区矿业绿色高质量发展。</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年完成</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家绿色矿山评估工作，抽取</w:t>
      </w:r>
      <w:r>
        <w:rPr>
          <w:rStyle w:val="a8"/>
          <w:rFonts w:ascii="楷体" w:eastAsia="楷体" w:hAnsi="楷体" w:hint="eastAsia"/>
          <w:spacing w:val="-4"/>
          <w:sz w:val="32"/>
          <w:szCs w:val="32"/>
        </w:rPr>
        <w:t>26</w:t>
      </w:r>
      <w:r>
        <w:rPr>
          <w:rStyle w:val="a8"/>
          <w:rFonts w:ascii="楷体" w:eastAsia="楷体" w:hAnsi="楷体" w:hint="eastAsia"/>
          <w:spacing w:val="-4"/>
          <w:sz w:val="32"/>
          <w:szCs w:val="32"/>
        </w:rPr>
        <w:t>家绿色矿山进行实地核查。自治区新增</w:t>
      </w:r>
      <w:r>
        <w:rPr>
          <w:rStyle w:val="a8"/>
          <w:rFonts w:ascii="楷体" w:eastAsia="楷体" w:hAnsi="楷体" w:hint="eastAsia"/>
          <w:spacing w:val="-4"/>
          <w:sz w:val="32"/>
          <w:szCs w:val="32"/>
        </w:rPr>
        <w:t>45</w:t>
      </w:r>
      <w:r>
        <w:rPr>
          <w:rStyle w:val="a8"/>
          <w:rFonts w:ascii="楷体" w:eastAsia="楷体" w:hAnsi="楷体" w:hint="eastAsia"/>
          <w:spacing w:val="-4"/>
          <w:sz w:val="32"/>
          <w:szCs w:val="32"/>
        </w:rPr>
        <w:t>家自治区级绿色矿山</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②该项目</w:t>
      </w:r>
      <w:r>
        <w:rPr>
          <w:rStyle w:val="a8"/>
          <w:rFonts w:ascii="楷体" w:eastAsia="楷体" w:hAnsi="楷体" w:hint="eastAsia"/>
          <w:spacing w:val="-4"/>
          <w:sz w:val="32"/>
          <w:szCs w:val="32"/>
        </w:rPr>
        <w:t>实际工作内容为：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年完成了</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家绿色矿山评估工作，对评估通过的绿色矿山和已建成绿色矿山进行实地抽查，提升自治区绿色矿山数量，促进自治区矿业绿色高质量发展。</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年完成了</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家绿色矿山评估工作，抽取</w:t>
      </w:r>
      <w:r>
        <w:rPr>
          <w:rStyle w:val="a8"/>
          <w:rFonts w:ascii="楷体" w:eastAsia="楷体" w:hAnsi="楷体" w:hint="eastAsia"/>
          <w:spacing w:val="-4"/>
          <w:sz w:val="32"/>
          <w:szCs w:val="32"/>
        </w:rPr>
        <w:t>26</w:t>
      </w:r>
      <w:r>
        <w:rPr>
          <w:rStyle w:val="a8"/>
          <w:rFonts w:ascii="楷体" w:eastAsia="楷体" w:hAnsi="楷体" w:hint="eastAsia"/>
          <w:spacing w:val="-4"/>
          <w:sz w:val="32"/>
          <w:szCs w:val="32"/>
        </w:rPr>
        <w:t>家绿色矿山进行实地核查。自治区新增</w:t>
      </w:r>
      <w:r>
        <w:rPr>
          <w:rStyle w:val="a8"/>
          <w:rFonts w:ascii="楷体" w:eastAsia="楷体" w:hAnsi="楷体" w:hint="eastAsia"/>
          <w:spacing w:val="-4"/>
          <w:sz w:val="32"/>
          <w:szCs w:val="32"/>
        </w:rPr>
        <w:t>51</w:t>
      </w:r>
      <w:r>
        <w:rPr>
          <w:rStyle w:val="a8"/>
          <w:rFonts w:ascii="楷体" w:eastAsia="楷体" w:hAnsi="楷体" w:hint="eastAsia"/>
          <w:spacing w:val="-4"/>
          <w:sz w:val="32"/>
          <w:szCs w:val="32"/>
        </w:rPr>
        <w:t>家自治区级绿色矿山。绩效目标与实际工作内容一致，两者具有相关性。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③该项目批复的预算金额为</w:t>
      </w:r>
      <w:r>
        <w:rPr>
          <w:rStyle w:val="a8"/>
          <w:rFonts w:ascii="楷体" w:eastAsia="楷体" w:hAnsi="楷体" w:hint="eastAsia"/>
          <w:spacing w:val="-4"/>
          <w:sz w:val="32"/>
          <w:szCs w:val="32"/>
        </w:rPr>
        <w:t>300</w:t>
      </w:r>
      <w:r>
        <w:rPr>
          <w:rStyle w:val="a8"/>
          <w:rFonts w:ascii="楷体" w:eastAsia="楷体" w:hAnsi="楷体" w:hint="eastAsia"/>
          <w:spacing w:val="-4"/>
          <w:sz w:val="32"/>
          <w:szCs w:val="32"/>
        </w:rPr>
        <w:t>万元，《项目支出绩效目标表》中预算金额为</w:t>
      </w:r>
      <w:r>
        <w:rPr>
          <w:rStyle w:val="a8"/>
          <w:rFonts w:ascii="楷体" w:eastAsia="楷体" w:hAnsi="楷体" w:hint="eastAsia"/>
          <w:spacing w:val="-4"/>
          <w:sz w:val="32"/>
          <w:szCs w:val="32"/>
        </w:rPr>
        <w:t>300</w:t>
      </w:r>
      <w:r>
        <w:rPr>
          <w:rStyle w:val="a8"/>
          <w:rFonts w:ascii="楷体" w:eastAsia="楷体" w:hAnsi="楷体" w:hint="eastAsia"/>
          <w:spacing w:val="-4"/>
          <w:sz w:val="32"/>
          <w:szCs w:val="32"/>
        </w:rPr>
        <w:t>万元，预算确定的项目资金与预算确定的项目投资额相匹配。</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④本单位制定了实施方案，明确了总体思路及目标、并对任务进行了详细分解</w:t>
      </w:r>
      <w:r>
        <w:rPr>
          <w:rStyle w:val="a8"/>
          <w:rFonts w:ascii="楷体" w:eastAsia="楷体" w:hAnsi="楷体" w:hint="eastAsia"/>
          <w:spacing w:val="-4"/>
          <w:sz w:val="32"/>
          <w:szCs w:val="32"/>
        </w:rPr>
        <w:t>，对目标进行了细化。</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）绩效指标明确性：经检查我单位年初设置的《项目支出绩效目标表》，得出如下结论：本项目已将年度绩效目标进行细化为绩效指标体系，共设置一级指标</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个，二级指标</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个，三级指标</w:t>
      </w:r>
      <w:r>
        <w:rPr>
          <w:rStyle w:val="a8"/>
          <w:rFonts w:ascii="楷体" w:eastAsia="楷体" w:hAnsi="楷体" w:hint="eastAsia"/>
          <w:spacing w:val="-4"/>
          <w:sz w:val="32"/>
          <w:szCs w:val="32"/>
        </w:rPr>
        <w:t>7</w:t>
      </w:r>
      <w:r>
        <w:rPr>
          <w:rStyle w:val="a8"/>
          <w:rFonts w:ascii="楷体" w:eastAsia="楷体" w:hAnsi="楷体" w:hint="eastAsia"/>
          <w:spacing w:val="-4"/>
          <w:sz w:val="32"/>
          <w:szCs w:val="32"/>
        </w:rPr>
        <w:t>个，定量指标</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个，定性指标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个，指标量化率为</w:t>
      </w:r>
      <w:r>
        <w:rPr>
          <w:rStyle w:val="a8"/>
          <w:rFonts w:ascii="楷体" w:eastAsia="楷体" w:hAnsi="楷体" w:hint="eastAsia"/>
          <w:spacing w:val="-4"/>
          <w:sz w:val="32"/>
          <w:szCs w:val="32"/>
        </w:rPr>
        <w:t>85%</w:t>
      </w:r>
      <w:r>
        <w:rPr>
          <w:rStyle w:val="a8"/>
          <w:rFonts w:ascii="楷体" w:eastAsia="楷体" w:hAnsi="楷体" w:hint="eastAsia"/>
          <w:spacing w:val="-4"/>
          <w:sz w:val="32"/>
          <w:szCs w:val="32"/>
        </w:rPr>
        <w:t>，量化率达</w:t>
      </w:r>
      <w:r>
        <w:rPr>
          <w:rStyle w:val="a8"/>
          <w:rFonts w:ascii="楷体" w:eastAsia="楷体" w:hAnsi="楷体" w:hint="eastAsia"/>
          <w:spacing w:val="-4"/>
          <w:sz w:val="32"/>
          <w:szCs w:val="32"/>
        </w:rPr>
        <w:t>70.0%</w:t>
      </w:r>
      <w:r>
        <w:rPr>
          <w:rStyle w:val="a8"/>
          <w:rFonts w:ascii="楷体" w:eastAsia="楷体" w:hAnsi="楷体" w:hint="eastAsia"/>
          <w:spacing w:val="-4"/>
          <w:sz w:val="32"/>
          <w:szCs w:val="32"/>
        </w:rPr>
        <w:t>以上。</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绩效目标申报表》中，数量指标指标值为“评估绿色矿山数”、“核查绿色矿山数”，三级指标的年度指标值与年度绩效目标中任务数一致，已设置时效指标“绿色矿山评估与核查完成”。已设置的绩效目标具备明确</w:t>
      </w:r>
      <w:r>
        <w:rPr>
          <w:rStyle w:val="a8"/>
          <w:rFonts w:ascii="楷体" w:eastAsia="楷体" w:hAnsi="楷体" w:hint="eastAsia"/>
          <w:spacing w:val="-4"/>
          <w:sz w:val="32"/>
          <w:szCs w:val="32"/>
        </w:rPr>
        <w:t>性、可衡量性、可实现性、相关性、时限性。根据评分标准，该指标不扣分，得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资金投入情况分析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）预算编制科学性：预算编制按《关于开展自治区本级</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年部门预算编制工作的通知》（新财预〔</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w:t>
      </w:r>
      <w:r>
        <w:rPr>
          <w:rStyle w:val="a8"/>
          <w:rFonts w:ascii="楷体" w:eastAsia="楷体" w:hAnsi="楷体" w:hint="eastAsia"/>
          <w:spacing w:val="-4"/>
          <w:sz w:val="32"/>
          <w:szCs w:val="32"/>
        </w:rPr>
        <w:t>34</w:t>
      </w:r>
      <w:r>
        <w:rPr>
          <w:rStyle w:val="a8"/>
          <w:rFonts w:ascii="楷体" w:eastAsia="楷体" w:hAnsi="楷体" w:hint="eastAsia"/>
          <w:spacing w:val="-4"/>
          <w:sz w:val="32"/>
          <w:szCs w:val="32"/>
        </w:rPr>
        <w:t>号）要求执行，实际完成内容与项目内容匹配，项目投资额与工作任务相匹配，根据评分标准，该指标不扣分，得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）资金分配合理性：资金分配按照《关于批复</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年直属单位预算的通知》（新自然资函〔</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32</w:t>
      </w:r>
      <w:r>
        <w:rPr>
          <w:rStyle w:val="a8"/>
          <w:rFonts w:ascii="楷体" w:eastAsia="楷体" w:hAnsi="楷体" w:hint="eastAsia"/>
          <w:spacing w:val="-4"/>
          <w:sz w:val="32"/>
          <w:szCs w:val="32"/>
        </w:rPr>
        <w:t>号）文件要求，</w:t>
      </w:r>
      <w:r>
        <w:rPr>
          <w:rStyle w:val="a8"/>
          <w:rFonts w:ascii="楷体" w:eastAsia="楷体" w:hAnsi="楷体" w:hint="eastAsia"/>
          <w:spacing w:val="-4"/>
          <w:sz w:val="32"/>
          <w:szCs w:val="32"/>
        </w:rPr>
        <w:t>200</w:t>
      </w:r>
      <w:r>
        <w:rPr>
          <w:rStyle w:val="a8"/>
          <w:rFonts w:ascii="楷体" w:eastAsia="楷体" w:hAnsi="楷体" w:hint="eastAsia"/>
          <w:spacing w:val="-4"/>
          <w:sz w:val="32"/>
          <w:szCs w:val="32"/>
        </w:rPr>
        <w:t>万用于绿色矿山评估、</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万用于绿色矿山核查，资金分配与实际相适应，</w:t>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p>
    <w:p w:rsidR="00BD5EE8" w:rsidRDefault="002065E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BD5EE8" w:rsidRDefault="002065E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项目过程类指标包括资金管理和组织实施两方面的内容，由</w:t>
      </w:r>
      <w:r>
        <w:rPr>
          <w:rStyle w:val="a8"/>
          <w:rFonts w:ascii="楷体" w:eastAsia="楷体" w:hAnsi="楷体" w:hint="eastAsia"/>
          <w:spacing w:val="-4"/>
          <w:sz w:val="32"/>
          <w:szCs w:val="32"/>
        </w:rPr>
        <w:t xml:space="preserve"> 5</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 xml:space="preserve">20 </w:t>
      </w:r>
      <w:r>
        <w:rPr>
          <w:rStyle w:val="a8"/>
          <w:rFonts w:ascii="楷体" w:eastAsia="楷体" w:hAnsi="楷体" w:hint="eastAsia"/>
          <w:spacing w:val="-4"/>
          <w:sz w:val="32"/>
          <w:szCs w:val="32"/>
        </w:rPr>
        <w:t>分，得分</w:t>
      </w:r>
      <w:r>
        <w:rPr>
          <w:rStyle w:val="a8"/>
          <w:rFonts w:ascii="楷体" w:eastAsia="楷体" w:hAnsi="楷体" w:hint="eastAsia"/>
          <w:spacing w:val="-4"/>
          <w:sz w:val="32"/>
          <w:szCs w:val="32"/>
        </w:rPr>
        <w:lastRenderedPageBreak/>
        <w:t>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资金管理情况分析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）资金到位率：该项目总预算</w:t>
      </w:r>
      <w:r>
        <w:rPr>
          <w:rStyle w:val="a8"/>
          <w:rFonts w:ascii="楷体" w:eastAsia="楷体" w:hAnsi="楷体" w:hint="eastAsia"/>
          <w:spacing w:val="-4"/>
          <w:sz w:val="32"/>
          <w:szCs w:val="32"/>
        </w:rPr>
        <w:t>300</w:t>
      </w:r>
      <w:r>
        <w:rPr>
          <w:rStyle w:val="a8"/>
          <w:rFonts w:ascii="楷体" w:eastAsia="楷体" w:hAnsi="楷体" w:hint="eastAsia"/>
          <w:spacing w:val="-4"/>
          <w:sz w:val="32"/>
          <w:szCs w:val="32"/>
        </w:rPr>
        <w:t>万元，自治区财政厅实际下达经费</w:t>
      </w:r>
      <w:r>
        <w:rPr>
          <w:rStyle w:val="a8"/>
          <w:rFonts w:ascii="楷体" w:eastAsia="楷体" w:hAnsi="楷体" w:hint="eastAsia"/>
          <w:spacing w:val="-4"/>
          <w:sz w:val="32"/>
          <w:szCs w:val="32"/>
        </w:rPr>
        <w:t>300</w:t>
      </w:r>
      <w:r>
        <w:rPr>
          <w:rStyle w:val="a8"/>
          <w:rFonts w:ascii="楷体" w:eastAsia="楷体" w:hAnsi="楷体" w:hint="eastAsia"/>
          <w:spacing w:val="-4"/>
          <w:sz w:val="32"/>
          <w:szCs w:val="32"/>
        </w:rPr>
        <w:t>万元，资金足额拨付到位，根据评分标准，该指标不扣分，得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）预算执行率：本项目申请预算金额为</w:t>
      </w:r>
      <w:r>
        <w:rPr>
          <w:rStyle w:val="a8"/>
          <w:rFonts w:ascii="楷体" w:eastAsia="楷体" w:hAnsi="楷体" w:hint="eastAsia"/>
          <w:spacing w:val="-4"/>
          <w:sz w:val="32"/>
          <w:szCs w:val="32"/>
        </w:rPr>
        <w:t>300</w:t>
      </w:r>
      <w:r>
        <w:rPr>
          <w:rStyle w:val="a8"/>
          <w:rFonts w:ascii="楷体" w:eastAsia="楷体" w:hAnsi="楷体" w:hint="eastAsia"/>
          <w:spacing w:val="-4"/>
          <w:sz w:val="32"/>
          <w:szCs w:val="32"/>
        </w:rPr>
        <w:t>万元，预算批复实际下达金额为</w:t>
      </w:r>
      <w:r>
        <w:rPr>
          <w:rStyle w:val="a8"/>
          <w:rFonts w:ascii="楷体" w:eastAsia="楷体" w:hAnsi="楷体" w:hint="eastAsia"/>
          <w:spacing w:val="-4"/>
          <w:sz w:val="32"/>
          <w:szCs w:val="32"/>
        </w:rPr>
        <w:t>300</w:t>
      </w:r>
      <w:r>
        <w:rPr>
          <w:rStyle w:val="a8"/>
          <w:rFonts w:ascii="楷体" w:eastAsia="楷体" w:hAnsi="楷体" w:hint="eastAsia"/>
          <w:spacing w:val="-4"/>
          <w:sz w:val="32"/>
          <w:szCs w:val="32"/>
        </w:rPr>
        <w:t>万元，截至</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日，资金执行</w:t>
      </w:r>
      <w:r>
        <w:rPr>
          <w:rStyle w:val="a8"/>
          <w:rFonts w:ascii="楷体" w:eastAsia="楷体" w:hAnsi="楷体" w:hint="eastAsia"/>
          <w:spacing w:val="-4"/>
          <w:sz w:val="32"/>
          <w:szCs w:val="32"/>
        </w:rPr>
        <w:t>300</w:t>
      </w:r>
      <w:r>
        <w:rPr>
          <w:rStyle w:val="a8"/>
          <w:rFonts w:ascii="楷体" w:eastAsia="楷体" w:hAnsi="楷体" w:hint="eastAsia"/>
          <w:spacing w:val="-4"/>
          <w:sz w:val="32"/>
          <w:szCs w:val="32"/>
        </w:rPr>
        <w:t>万元，资金执行率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。项目资</w:t>
      </w:r>
      <w:r>
        <w:rPr>
          <w:rStyle w:val="a8"/>
          <w:rFonts w:ascii="楷体" w:eastAsia="楷体" w:hAnsi="楷体" w:hint="eastAsia"/>
          <w:spacing w:val="-4"/>
          <w:sz w:val="32"/>
          <w:szCs w:val="32"/>
        </w:rPr>
        <w:t>金支出总体能够按照预算执行，根据评分标准，该指标不扣分，得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3</w:t>
      </w:r>
      <w:r>
        <w:rPr>
          <w:rStyle w:val="a8"/>
          <w:rFonts w:ascii="楷体" w:eastAsia="楷体" w:hAnsi="楷体" w:hint="eastAsia"/>
          <w:spacing w:val="-4"/>
          <w:sz w:val="32"/>
          <w:szCs w:val="32"/>
        </w:rPr>
        <w:t>）资金使用合规性：根据预算批复规定用途，按项目单位及中标金额全额转拨到位，不存在截留、挤占、挪用、虚列支出等情况，未发现违规使用情况，根据评分标准，该指标不扣分，得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组织实施情况分析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）管理制度健全性：该项目严格按照《自治区地质勘察质量评价中心财务制度》及地质勘查资金相关的制度和管理规定实施，对财政专项资金进行严格管理，做到了专款专用，根据评分标准，该指标不扣分，得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）制度执行有效性：由自然资源厅</w:t>
      </w:r>
      <w:r>
        <w:rPr>
          <w:rStyle w:val="a8"/>
          <w:rFonts w:ascii="楷体" w:eastAsia="楷体" w:hAnsi="楷体" w:hint="eastAsia"/>
          <w:spacing w:val="-4"/>
          <w:sz w:val="32"/>
          <w:szCs w:val="32"/>
        </w:rPr>
        <w:t>组织专家论证，筛选出项目，经自治区公共资源交易中心公开招标确定项目承担单位，按财政预算要求，由我中心代编非自治区本级财政预算单位中标项目预算，并按合同全额拨付资金。自治区地质勘查质量评价中心对资金使用的合法合规性进行检查，我中心对资金使用效果进行自评，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p>
    <w:p w:rsidR="00BD5EE8" w:rsidRDefault="002065E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BD5EE8" w:rsidRDefault="002065E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lastRenderedPageBreak/>
        <w:t>项目产出类指标包括产出数量、产出质量、产出时效、产出成本等两方面的内容，本项目由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产出数量指标完成情况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年完成评估绿色矿山数”指标，预期指标值为大于等于</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个，实际完成</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个，指标完成率为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t>“核查绿色矿山数”指标，预期指标值为大于等于</w:t>
      </w:r>
      <w:r>
        <w:rPr>
          <w:rStyle w:val="a8"/>
          <w:rFonts w:ascii="楷体" w:eastAsia="楷体" w:hAnsi="楷体" w:hint="eastAsia"/>
          <w:spacing w:val="-4"/>
          <w:sz w:val="32"/>
          <w:szCs w:val="32"/>
        </w:rPr>
        <w:t>26</w:t>
      </w:r>
      <w:r>
        <w:rPr>
          <w:rStyle w:val="a8"/>
          <w:rFonts w:ascii="楷体" w:eastAsia="楷体" w:hAnsi="楷体" w:hint="eastAsia"/>
          <w:spacing w:val="-4"/>
          <w:sz w:val="32"/>
          <w:szCs w:val="32"/>
        </w:rPr>
        <w:t>个，实际完成</w:t>
      </w:r>
      <w:r>
        <w:rPr>
          <w:rStyle w:val="a8"/>
          <w:rFonts w:ascii="楷体" w:eastAsia="楷体" w:hAnsi="楷体" w:hint="eastAsia"/>
          <w:spacing w:val="-4"/>
          <w:sz w:val="32"/>
          <w:szCs w:val="32"/>
        </w:rPr>
        <w:t>26</w:t>
      </w:r>
      <w:r>
        <w:rPr>
          <w:rStyle w:val="a8"/>
          <w:rFonts w:ascii="楷体" w:eastAsia="楷体" w:hAnsi="楷体" w:hint="eastAsia"/>
          <w:spacing w:val="-4"/>
          <w:sz w:val="32"/>
          <w:szCs w:val="32"/>
        </w:rPr>
        <w:t>个，指标完成率为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产出质量指标完成情况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“绿色矿山评估报告采信率”指标，预期指标值为大于等于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，实际采信率为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 xml:space="preserve"> 3.</w:t>
      </w:r>
      <w:r>
        <w:rPr>
          <w:rStyle w:val="a8"/>
          <w:rFonts w:ascii="楷体" w:eastAsia="楷体" w:hAnsi="楷体" w:hint="eastAsia"/>
          <w:spacing w:val="-4"/>
          <w:sz w:val="32"/>
          <w:szCs w:val="32"/>
        </w:rPr>
        <w:t>产出时效指标完成情况</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28</w:t>
      </w:r>
      <w:r>
        <w:rPr>
          <w:rStyle w:val="a8"/>
          <w:rFonts w:ascii="楷体" w:eastAsia="楷体" w:hAnsi="楷体" w:hint="eastAsia"/>
          <w:spacing w:val="-4"/>
          <w:sz w:val="32"/>
          <w:szCs w:val="32"/>
        </w:rPr>
        <w:t>日，完成了</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个绿色矿山评估与</w:t>
      </w:r>
      <w:r>
        <w:rPr>
          <w:rStyle w:val="a8"/>
          <w:rFonts w:ascii="楷体" w:eastAsia="楷体" w:hAnsi="楷体" w:hint="eastAsia"/>
          <w:spacing w:val="-4"/>
          <w:sz w:val="32"/>
          <w:szCs w:val="32"/>
        </w:rPr>
        <w:t>26</w:t>
      </w:r>
      <w:r>
        <w:rPr>
          <w:rStyle w:val="a8"/>
          <w:rFonts w:ascii="楷体" w:eastAsia="楷体" w:hAnsi="楷体" w:hint="eastAsia"/>
          <w:spacing w:val="-4"/>
          <w:sz w:val="32"/>
          <w:szCs w:val="32"/>
        </w:rPr>
        <w:t>个绿色矿山核查，满足预期时效指标</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日的要求指标完成率为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4.</w:t>
      </w:r>
      <w:r>
        <w:rPr>
          <w:rStyle w:val="a8"/>
          <w:rFonts w:ascii="楷体" w:eastAsia="楷体" w:hAnsi="楷体" w:hint="eastAsia"/>
          <w:spacing w:val="-4"/>
          <w:sz w:val="32"/>
          <w:szCs w:val="32"/>
        </w:rPr>
        <w:t>产出成本指标完成情况</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“绿色矿山评估成本”指标，预期指标值为小于等于</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w:t>
      </w:r>
      <w:r>
        <w:rPr>
          <w:rStyle w:val="a8"/>
          <w:rFonts w:ascii="楷体" w:eastAsia="楷体" w:hAnsi="楷体" w:hint="eastAsia"/>
          <w:spacing w:val="-4"/>
          <w:sz w:val="32"/>
          <w:szCs w:val="32"/>
        </w:rPr>
        <w:t>个，实际成本</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w:t>
      </w:r>
      <w:r>
        <w:rPr>
          <w:rStyle w:val="a8"/>
          <w:rFonts w:ascii="楷体" w:eastAsia="楷体" w:hAnsi="楷体" w:hint="eastAsia"/>
          <w:spacing w:val="-4"/>
          <w:sz w:val="32"/>
          <w:szCs w:val="32"/>
        </w:rPr>
        <w:t>个，指标完成率为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t>“绿色矿山核查成本”指标，预期指标值为小于等于</w:t>
      </w:r>
      <w:r>
        <w:rPr>
          <w:rStyle w:val="a8"/>
          <w:rFonts w:ascii="楷体" w:eastAsia="楷体" w:hAnsi="楷体" w:hint="eastAsia"/>
          <w:spacing w:val="-4"/>
          <w:sz w:val="32"/>
          <w:szCs w:val="32"/>
        </w:rPr>
        <w:t>3.846</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w:t>
      </w:r>
      <w:r>
        <w:rPr>
          <w:rStyle w:val="a8"/>
          <w:rFonts w:ascii="楷体" w:eastAsia="楷体" w:hAnsi="楷体" w:hint="eastAsia"/>
          <w:spacing w:val="-4"/>
          <w:sz w:val="32"/>
          <w:szCs w:val="32"/>
        </w:rPr>
        <w:t>个，实际成本≤</w:t>
      </w:r>
      <w:r>
        <w:rPr>
          <w:rStyle w:val="a8"/>
          <w:rFonts w:ascii="楷体" w:eastAsia="楷体" w:hAnsi="楷体" w:hint="eastAsia"/>
          <w:spacing w:val="-4"/>
          <w:sz w:val="32"/>
          <w:szCs w:val="32"/>
        </w:rPr>
        <w:t>3.846</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t>/</w:t>
      </w:r>
      <w:r>
        <w:rPr>
          <w:rStyle w:val="a8"/>
          <w:rFonts w:ascii="楷体" w:eastAsia="楷体" w:hAnsi="楷体" w:hint="eastAsia"/>
          <w:spacing w:val="-4"/>
          <w:sz w:val="32"/>
          <w:szCs w:val="32"/>
        </w:rPr>
        <w:t>个，指标完成率为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w:t>
      </w:r>
      <w:r>
        <w:rPr>
          <w:rStyle w:val="a8"/>
          <w:rFonts w:ascii="楷体" w:eastAsia="楷体" w:hAnsi="楷体" w:hint="eastAsia"/>
          <w:spacing w:val="-4"/>
          <w:sz w:val="32"/>
          <w:szCs w:val="32"/>
        </w:rPr>
        <w:lastRenderedPageBreak/>
        <w:t>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w:t>
      </w:r>
    </w:p>
    <w:p w:rsidR="00BD5EE8" w:rsidRDefault="002065E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BD5EE8" w:rsidRDefault="002065E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项目效益类指标包括项目效益</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个方面的内容，由</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 xml:space="preserve">    1.</w:t>
      </w:r>
      <w:r>
        <w:rPr>
          <w:rStyle w:val="a8"/>
          <w:rFonts w:ascii="楷体" w:eastAsia="楷体" w:hAnsi="楷体" w:hint="eastAsia"/>
          <w:spacing w:val="-4"/>
          <w:sz w:val="32"/>
          <w:szCs w:val="32"/>
        </w:rPr>
        <w:t>实施效益指标</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）经济效益指标</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本项目无该指标。</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）社会效益指标</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本项目无该指标。</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）生态效益指标</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t>“达到绿色矿山标准的矿山”指标，预期指标值为增加到大于等于</w:t>
      </w:r>
      <w:r>
        <w:rPr>
          <w:rStyle w:val="a8"/>
          <w:rFonts w:ascii="楷体" w:eastAsia="楷体" w:hAnsi="楷体" w:hint="eastAsia"/>
          <w:spacing w:val="-4"/>
          <w:sz w:val="32"/>
          <w:szCs w:val="32"/>
        </w:rPr>
        <w:t>45</w:t>
      </w:r>
      <w:r>
        <w:rPr>
          <w:rStyle w:val="a8"/>
          <w:rFonts w:ascii="楷体" w:eastAsia="楷体" w:hAnsi="楷体" w:hint="eastAsia"/>
          <w:spacing w:val="-4"/>
          <w:sz w:val="32"/>
          <w:szCs w:val="32"/>
        </w:rPr>
        <w:t>个，实际完成指标</w:t>
      </w:r>
      <w:r>
        <w:rPr>
          <w:rStyle w:val="a8"/>
          <w:rFonts w:ascii="楷体" w:eastAsia="楷体" w:hAnsi="楷体" w:hint="eastAsia"/>
          <w:spacing w:val="-4"/>
          <w:sz w:val="32"/>
          <w:szCs w:val="32"/>
        </w:rPr>
        <w:t>51</w:t>
      </w:r>
      <w:r>
        <w:rPr>
          <w:rStyle w:val="a8"/>
          <w:rFonts w:ascii="楷体" w:eastAsia="楷体" w:hAnsi="楷体" w:hint="eastAsia"/>
          <w:spacing w:val="-4"/>
          <w:sz w:val="32"/>
          <w:szCs w:val="32"/>
        </w:rPr>
        <w:t>个，根据评分标准，该指标不扣分，得</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合计得</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综上所述，项目效益指标权重分为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p>
    <w:p w:rsidR="00BD5EE8" w:rsidRDefault="002065E9">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本项目无该指标。</w:t>
      </w:r>
    </w:p>
    <w:p w:rsidR="00BD5EE8" w:rsidRDefault="002065E9">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hint="eastAsia"/>
          <w:b w:val="0"/>
          <w:spacing w:val="-4"/>
          <w:sz w:val="32"/>
          <w:szCs w:val="32"/>
        </w:rPr>
        <w:t>、</w:t>
      </w:r>
      <w:r>
        <w:rPr>
          <w:rStyle w:val="a8"/>
          <w:rFonts w:ascii="黑体" w:eastAsia="黑体" w:hAnsi="黑体"/>
          <w:b w:val="0"/>
          <w:spacing w:val="-4"/>
          <w:sz w:val="32"/>
          <w:szCs w:val="32"/>
        </w:rPr>
        <w:t>主要经验及做法、存在的问题及原因分析</w:t>
      </w:r>
    </w:p>
    <w:p w:rsidR="00BD5EE8" w:rsidRDefault="002065E9">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．完善管理制度。根据新形势和新要求，结合不断出台的各项制度，制定相应的预算管理制度。强化预算管理，事前必编预算，控制经费使用，使用必问绩效，将绩效管理贯穿于预算编制、执行及决算等环节。</w:t>
      </w:r>
      <w:r>
        <w:rPr>
          <w:rStyle w:val="a8"/>
          <w:rFonts w:ascii="楷体" w:eastAsia="楷体" w:hAnsi="楷体" w:hint="eastAsia"/>
          <w:spacing w:val="-4"/>
          <w:sz w:val="32"/>
          <w:szCs w:val="32"/>
        </w:rPr>
        <w:br/>
        <w:t xml:space="preserve">    2</w:t>
      </w:r>
      <w:r>
        <w:rPr>
          <w:rStyle w:val="a8"/>
          <w:rFonts w:ascii="楷体" w:eastAsia="楷体" w:hAnsi="楷体" w:hint="eastAsia"/>
          <w:spacing w:val="-4"/>
          <w:sz w:val="32"/>
          <w:szCs w:val="32"/>
        </w:rPr>
        <w:t>．加强宣传。加强对各项制度的宣贯与执行力度，杜绝有令不行、有禁不止的情况发生。</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3.</w:t>
      </w:r>
      <w:r>
        <w:rPr>
          <w:rStyle w:val="a8"/>
          <w:rFonts w:ascii="楷体" w:eastAsia="楷体" w:hAnsi="楷体" w:hint="eastAsia"/>
          <w:spacing w:val="-4"/>
          <w:sz w:val="32"/>
          <w:szCs w:val="32"/>
        </w:rPr>
        <w:t>加强沟通协作。项目实施过程中，加强与上级部门、相关单位和核查对象的沟通协作。及时汇报项目进展情况，获取上级支持和指导；与相关单位密切配合，共同推进项目实施；主动对接核查对象，提高工作质量。</w:t>
      </w:r>
    </w:p>
    <w:p w:rsidR="00BD5EE8" w:rsidRDefault="002065E9">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BD5EE8" w:rsidRDefault="002065E9">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（一）深化预算绩效管理</w:t>
      </w:r>
      <w:r>
        <w:rPr>
          <w:rStyle w:val="a8"/>
          <w:rFonts w:ascii="楷体" w:eastAsia="楷体" w:hAnsi="楷体" w:hint="eastAsia"/>
          <w:spacing w:val="-4"/>
          <w:sz w:val="32"/>
          <w:szCs w:val="32"/>
        </w:rPr>
        <w:br/>
      </w:r>
      <w:r>
        <w:rPr>
          <w:rStyle w:val="a8"/>
          <w:rFonts w:ascii="楷体" w:eastAsia="楷体" w:hAnsi="楷体" w:hint="eastAsia"/>
          <w:spacing w:val="-4"/>
          <w:sz w:val="32"/>
          <w:szCs w:val="32"/>
        </w:rPr>
        <w:t>加强预算编制的科学性和前瞻性，深入研究项目需求和潜在风险，充分考虑项目全周期成本和效益。建立预算编制专家咨询机制，邀请行业专家、财务专家等参与预算编制，提高预算编制质量。</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强化预算执行监控，建立预算执行动态调整机制。定期对预算执行情况进行分析和评估，及时发现问题并调整预算</w:t>
      </w:r>
      <w:r>
        <w:rPr>
          <w:rStyle w:val="a8"/>
          <w:rFonts w:ascii="楷体" w:eastAsia="楷体" w:hAnsi="楷体" w:hint="eastAsia"/>
          <w:spacing w:val="-4"/>
          <w:sz w:val="32"/>
          <w:szCs w:val="32"/>
        </w:rPr>
        <w:t>方案，确保预算执行与项目实施进度相匹配。加强对预算执行结果的考核，将考核结果与预算安排和绩效评价挂钩。</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（二）完善项目效益评估</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明确经济效益和社会效益指标，建立科学合理的效益评估体系。结合项目特点和行业标准，确定能够准确反映项目经济效益和社会效益的指标，如当地就业率指标。</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br/>
        <w:t xml:space="preserve">    </w:t>
      </w:r>
      <w:r>
        <w:rPr>
          <w:rStyle w:val="a8"/>
          <w:rFonts w:ascii="楷体" w:eastAsia="楷体" w:hAnsi="楷体" w:hint="eastAsia"/>
          <w:spacing w:val="-4"/>
          <w:sz w:val="32"/>
          <w:szCs w:val="32"/>
        </w:rPr>
        <w:t>加强对项目效益的跟踪评估，在项目实施过程中定期对经济效益和生态效益进行监测和评估，及时发现问题并采取措施加以改进。将项目效益评估结果作为项目决策和调整的重要依据。</w:t>
      </w:r>
    </w:p>
    <w:p w:rsidR="00BD5EE8" w:rsidRDefault="002065E9">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、其他需要说明的问题</w:t>
      </w:r>
    </w:p>
    <w:p w:rsidR="00BD5EE8" w:rsidRDefault="002065E9">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我单位对上述项目支出</w:t>
      </w:r>
      <w:r>
        <w:rPr>
          <w:rStyle w:val="a8"/>
          <w:rFonts w:ascii="楷体" w:eastAsia="楷体" w:hAnsi="楷体" w:hint="eastAsia"/>
          <w:spacing w:val="-4"/>
          <w:sz w:val="32"/>
          <w:szCs w:val="32"/>
        </w:rPr>
        <w:t>绩效评价报告内反映内容的真实性、完整性负责，接受上级部门及社会监督。</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br/>
      </w:r>
      <w:r>
        <w:rPr>
          <w:rStyle w:val="a8"/>
          <w:rFonts w:ascii="楷体" w:eastAsia="楷体" w:hAnsi="楷体" w:hint="eastAsia"/>
          <w:spacing w:val="-4"/>
          <w:sz w:val="32"/>
          <w:szCs w:val="32"/>
        </w:rPr>
        <w:br/>
      </w:r>
      <w:r>
        <w:rPr>
          <w:rStyle w:val="a8"/>
          <w:rFonts w:ascii="楷体" w:eastAsia="楷体" w:hAnsi="楷体" w:hint="eastAsia"/>
          <w:spacing w:val="-4"/>
          <w:sz w:val="32"/>
          <w:szCs w:val="32"/>
        </w:rPr>
        <w:t>附件</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：新疆维吾尔自治区绿色矿山评估与核查绩效评价指标体系及评分标准</w:t>
      </w:r>
    </w:p>
    <w:p w:rsidR="00BD5EE8" w:rsidRDefault="00BD5EE8">
      <w:pPr>
        <w:spacing w:line="540" w:lineRule="exact"/>
        <w:ind w:firstLine="567"/>
        <w:rPr>
          <w:rStyle w:val="a8"/>
          <w:rFonts w:ascii="仿宋" w:eastAsia="仿宋" w:hAnsi="仿宋"/>
          <w:b w:val="0"/>
          <w:spacing w:val="-4"/>
          <w:sz w:val="32"/>
          <w:szCs w:val="32"/>
        </w:rPr>
      </w:pPr>
    </w:p>
    <w:p w:rsidR="00BD5EE8" w:rsidRDefault="00BD5EE8">
      <w:pPr>
        <w:spacing w:line="540" w:lineRule="exact"/>
        <w:ind w:firstLine="567"/>
        <w:rPr>
          <w:rStyle w:val="a8"/>
          <w:rFonts w:ascii="仿宋" w:eastAsia="仿宋" w:hAnsi="仿宋"/>
          <w:b w:val="0"/>
          <w:spacing w:val="-4"/>
          <w:sz w:val="32"/>
          <w:szCs w:val="32"/>
        </w:rPr>
      </w:pPr>
    </w:p>
    <w:p w:rsidR="00BD5EE8" w:rsidRDefault="00BD5EE8">
      <w:pPr>
        <w:spacing w:line="540" w:lineRule="exact"/>
        <w:ind w:firstLine="567"/>
        <w:rPr>
          <w:rStyle w:val="a8"/>
          <w:rFonts w:ascii="仿宋" w:eastAsia="仿宋" w:hAnsi="仿宋"/>
          <w:b w:val="0"/>
          <w:spacing w:val="-4"/>
          <w:sz w:val="32"/>
          <w:szCs w:val="32"/>
        </w:rPr>
      </w:pPr>
    </w:p>
    <w:p w:rsidR="00BD5EE8" w:rsidRDefault="00BD5EE8">
      <w:pPr>
        <w:spacing w:line="540" w:lineRule="exact"/>
        <w:ind w:firstLine="567"/>
        <w:rPr>
          <w:rStyle w:val="a8"/>
          <w:rFonts w:ascii="仿宋" w:eastAsia="仿宋" w:hAnsi="仿宋"/>
          <w:b w:val="0"/>
          <w:spacing w:val="-4"/>
          <w:sz w:val="32"/>
          <w:szCs w:val="32"/>
        </w:rPr>
      </w:pPr>
    </w:p>
    <w:p w:rsidR="00BD5EE8" w:rsidRDefault="00BD5EE8">
      <w:pPr>
        <w:spacing w:line="540" w:lineRule="exact"/>
        <w:ind w:firstLine="567"/>
        <w:rPr>
          <w:rStyle w:val="a8"/>
          <w:rFonts w:ascii="仿宋" w:eastAsia="仿宋" w:hAnsi="仿宋"/>
          <w:b w:val="0"/>
          <w:spacing w:val="-4"/>
          <w:sz w:val="32"/>
          <w:szCs w:val="32"/>
        </w:rPr>
      </w:pPr>
    </w:p>
    <w:p w:rsidR="00BD5EE8" w:rsidRDefault="00BD5EE8">
      <w:pPr>
        <w:spacing w:line="540" w:lineRule="exact"/>
        <w:ind w:firstLine="567"/>
        <w:rPr>
          <w:rStyle w:val="a8"/>
          <w:rFonts w:ascii="仿宋" w:eastAsia="仿宋" w:hAnsi="仿宋"/>
          <w:b w:val="0"/>
          <w:spacing w:val="-4"/>
          <w:sz w:val="32"/>
          <w:szCs w:val="32"/>
        </w:rPr>
      </w:pPr>
    </w:p>
    <w:p w:rsidR="00BD5EE8" w:rsidRDefault="00BD5EE8">
      <w:pPr>
        <w:spacing w:line="540" w:lineRule="exact"/>
        <w:ind w:firstLine="567"/>
        <w:rPr>
          <w:rStyle w:val="a8"/>
          <w:rFonts w:ascii="仿宋" w:eastAsia="仿宋" w:hAnsi="仿宋"/>
          <w:b w:val="0"/>
          <w:spacing w:val="-4"/>
          <w:sz w:val="32"/>
          <w:szCs w:val="32"/>
        </w:rPr>
      </w:pPr>
    </w:p>
    <w:p w:rsidR="00BD5EE8" w:rsidRDefault="00BD5EE8">
      <w:pPr>
        <w:spacing w:line="540" w:lineRule="exact"/>
        <w:ind w:firstLine="567"/>
        <w:rPr>
          <w:rStyle w:val="a8"/>
          <w:rFonts w:ascii="仿宋" w:eastAsia="仿宋" w:hAnsi="仿宋"/>
          <w:b w:val="0"/>
          <w:spacing w:val="-4"/>
          <w:sz w:val="32"/>
          <w:szCs w:val="32"/>
        </w:rPr>
      </w:pPr>
    </w:p>
    <w:p w:rsidR="00BD5EE8" w:rsidRDefault="00BD5EE8">
      <w:pPr>
        <w:spacing w:line="540" w:lineRule="exact"/>
        <w:ind w:firstLine="567"/>
        <w:rPr>
          <w:rStyle w:val="a8"/>
          <w:rFonts w:ascii="仿宋" w:eastAsia="仿宋" w:hAnsi="仿宋"/>
          <w:b w:val="0"/>
          <w:spacing w:val="-4"/>
          <w:sz w:val="32"/>
          <w:szCs w:val="32"/>
        </w:rPr>
      </w:pPr>
    </w:p>
    <w:p w:rsidR="00BD5EE8" w:rsidRDefault="00BD5EE8">
      <w:pPr>
        <w:spacing w:line="540" w:lineRule="exact"/>
        <w:ind w:firstLine="567"/>
        <w:rPr>
          <w:rStyle w:val="a8"/>
          <w:rFonts w:ascii="仿宋" w:eastAsia="仿宋" w:hAnsi="仿宋"/>
          <w:b w:val="0"/>
          <w:spacing w:val="-4"/>
          <w:sz w:val="32"/>
          <w:szCs w:val="32"/>
        </w:rPr>
      </w:pPr>
    </w:p>
    <w:p w:rsidR="00BD5EE8" w:rsidRDefault="00BD5EE8">
      <w:pPr>
        <w:spacing w:line="540" w:lineRule="exact"/>
        <w:ind w:firstLine="567"/>
        <w:rPr>
          <w:rStyle w:val="a8"/>
          <w:rFonts w:ascii="仿宋" w:eastAsia="仿宋" w:hAnsi="仿宋"/>
          <w:b w:val="0"/>
          <w:spacing w:val="-4"/>
          <w:sz w:val="32"/>
          <w:szCs w:val="32"/>
        </w:rPr>
      </w:pPr>
    </w:p>
    <w:p w:rsidR="00BD5EE8" w:rsidRDefault="00BD5EE8">
      <w:pPr>
        <w:spacing w:line="540" w:lineRule="exact"/>
        <w:ind w:firstLine="567"/>
        <w:rPr>
          <w:rStyle w:val="a8"/>
          <w:rFonts w:ascii="仿宋" w:eastAsia="仿宋" w:hAnsi="仿宋"/>
          <w:b w:val="0"/>
          <w:spacing w:val="-4"/>
          <w:sz w:val="32"/>
          <w:szCs w:val="32"/>
        </w:rPr>
      </w:pPr>
    </w:p>
    <w:sectPr w:rsidR="00BD5EE8">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5E9" w:rsidRDefault="002065E9">
      <w:r>
        <w:separator/>
      </w:r>
    </w:p>
  </w:endnote>
  <w:endnote w:type="continuationSeparator" w:id="0">
    <w:p w:rsidR="002065E9" w:rsidRDefault="00206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BD5EE8" w:rsidRDefault="002065E9">
        <w:pPr>
          <w:pStyle w:val="a4"/>
          <w:jc w:val="center"/>
        </w:pPr>
        <w:r>
          <w:fldChar w:fldCharType="begin"/>
        </w:r>
        <w:r>
          <w:instrText>PAGE   \* MERGEFORMAT</w:instrText>
        </w:r>
        <w:r>
          <w:fldChar w:fldCharType="separate"/>
        </w:r>
        <w:r w:rsidR="003E53C4" w:rsidRPr="003E53C4">
          <w:rPr>
            <w:noProof/>
            <w:lang w:val="zh-CN"/>
          </w:rPr>
          <w:t>1</w:t>
        </w:r>
        <w:r>
          <w:fldChar w:fldCharType="end"/>
        </w:r>
      </w:p>
    </w:sdtContent>
  </w:sdt>
  <w:p w:rsidR="00BD5EE8" w:rsidRDefault="00BD5EE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5E9" w:rsidRDefault="002065E9">
      <w:r>
        <w:separator/>
      </w:r>
    </w:p>
  </w:footnote>
  <w:footnote w:type="continuationSeparator" w:id="0">
    <w:p w:rsidR="002065E9" w:rsidRDefault="002065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065E9"/>
    <w:rsid w:val="00273CCD"/>
    <w:rsid w:val="00291BC0"/>
    <w:rsid w:val="00311DBE"/>
    <w:rsid w:val="00345DD7"/>
    <w:rsid w:val="00351EFF"/>
    <w:rsid w:val="003B0577"/>
    <w:rsid w:val="003E53C4"/>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BD5EE8"/>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1488</Words>
  <Characters>8485</Characters>
  <Application>Microsoft Office Word</Application>
  <DocSecurity>0</DocSecurity>
  <Lines>70</Lines>
  <Paragraphs>19</Paragraphs>
  <ScaleCrop>false</ScaleCrop>
  <Company>P R C</Company>
  <LinksUpToDate>false</LinksUpToDate>
  <CharactersWithSpaces>9954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Windows User</cp:lastModifiedBy>
  <cp:revision>66</cp:revision>
  <cp:lastPrinted>2018-12-31T10:56:00Z</cp:lastPrinted>
  <dcterms:created xsi:type="dcterms:W3CDTF">2018-08-15T02:06:00Z</dcterms:created>
  <dcterms:modified xsi:type="dcterms:W3CDTF">2026-08-12T06:11:00Z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