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bookmarkStart w:id="3" w:name="_GoBack"/>
      <w:bookmarkEnd w:id="3"/>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新疆地质遗迹国情调查与评价</w:t>
      </w:r>
    </w:p>
    <w:p>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（古生物化石调查与评价）</w:t>
      </w:r>
    </w:p>
    <w:p>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支出绩效</w:t>
      </w:r>
      <w:r>
        <w:rPr>
          <w:rFonts w:hint="eastAsia" w:ascii="微软雅黑" w:hAnsi="微软雅黑" w:eastAsia="微软雅黑" w:cs="微软雅黑"/>
          <w:b/>
          <w:kern w:val="0"/>
          <w:sz w:val="48"/>
          <w:szCs w:val="48"/>
          <w:lang w:eastAsia="zh-CN"/>
        </w:rPr>
        <w:t>评价</w:t>
      </w:r>
      <w:r>
        <w:rPr>
          <w:rFonts w:hint="eastAsia" w:ascii="微软雅黑" w:hAnsi="微软雅黑" w:eastAsia="微软雅黑" w:cs="微软雅黑"/>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2025</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pageBreakBefore w:val="0"/>
        <w:kinsoku/>
        <w:wordWrap/>
        <w:topLinePunct w:val="0"/>
        <w:autoSpaceDE/>
        <w:autoSpaceDN/>
        <w:bidi w:val="0"/>
        <w:snapToGrid/>
        <w:spacing w:line="400" w:lineRule="exact"/>
        <w:ind w:left="0" w:leftChars="0" w:firstLine="0" w:firstLineChars="0"/>
        <w:jc w:val="left"/>
        <w:textAlignment w:val="auto"/>
        <w:rPr>
          <w:rFonts w:hint="eastAsia" w:ascii="仿宋" w:hAnsi="仿宋" w:eastAsia="仿宋" w:cs="仿宋"/>
          <w:color w:val="FF0000"/>
          <w:kern w:val="0"/>
          <w:sz w:val="32"/>
          <w:szCs w:val="32"/>
          <w:highlight w:val="none"/>
          <w:lang w:val="en-US" w:eastAsia="zh-CN" w:bidi="en-US"/>
        </w:rPr>
      </w:pPr>
      <w:r>
        <w:rPr>
          <w:rFonts w:hint="eastAsia" w:hAnsi="宋体" w:cs="宋体"/>
          <w:kern w:val="0"/>
          <w:sz w:val="32"/>
          <w:szCs w:val="32"/>
          <w:lang w:val="en-US" w:eastAsia="zh-CN"/>
        </w:rPr>
        <w:t xml:space="preserve">        </w:t>
      </w:r>
      <w:r>
        <w:rPr>
          <w:rFonts w:hint="eastAsia" w:ascii="仿宋" w:hAnsi="仿宋" w:eastAsia="仿宋" w:cs="仿宋"/>
          <w:kern w:val="0"/>
          <w:sz w:val="32"/>
          <w:szCs w:val="32"/>
          <w:highlight w:val="none"/>
          <w:lang w:bidi="en-US"/>
        </w:rPr>
        <w:t>项目名称：</w:t>
      </w:r>
      <w:r>
        <w:rPr>
          <w:rFonts w:hint="eastAsia" w:ascii="仿宋_GB2312" w:hAnsi="Times New Roman" w:cs="Times New Roman"/>
          <w:sz w:val="32"/>
          <w:szCs w:val="32"/>
          <w:lang w:val="en-US" w:eastAsia="zh-CN"/>
        </w:rPr>
        <w:t>新疆地质遗迹国情调查与评价（古生物化石调查与评价）项目</w:t>
      </w:r>
    </w:p>
    <w:p>
      <w:pPr>
        <w:pageBreakBefore w:val="0"/>
        <w:kinsoku/>
        <w:wordWrap/>
        <w:topLinePunct w:val="0"/>
        <w:autoSpaceDE/>
        <w:autoSpaceDN/>
        <w:bidi w:val="0"/>
        <w:snapToGrid/>
        <w:spacing w:line="400" w:lineRule="exact"/>
        <w:ind w:left="0" w:leftChars="0" w:firstLine="640" w:firstLineChars="0"/>
        <w:jc w:val="left"/>
        <w:textAlignment w:val="auto"/>
        <w:rPr>
          <w:rFonts w:hint="default" w:ascii="仿宋" w:hAnsi="仿宋" w:eastAsia="仿宋" w:cs="仿宋"/>
          <w:kern w:val="0"/>
          <w:sz w:val="32"/>
          <w:szCs w:val="32"/>
          <w:highlight w:val="none"/>
          <w:lang w:val="en-US" w:eastAsia="zh-CN" w:bidi="en-US"/>
        </w:rPr>
      </w:pPr>
      <w:r>
        <w:rPr>
          <w:rFonts w:hint="eastAsia" w:ascii="仿宋" w:hAnsi="仿宋" w:eastAsia="仿宋" w:cs="仿宋"/>
          <w:kern w:val="0"/>
          <w:sz w:val="32"/>
          <w:szCs w:val="32"/>
          <w:highlight w:val="none"/>
          <w:lang w:eastAsia="zh-CN" w:bidi="en-US"/>
        </w:rPr>
        <w:t>　　</w:t>
      </w:r>
      <w:r>
        <w:rPr>
          <w:rFonts w:hint="eastAsia" w:ascii="仿宋" w:hAnsi="仿宋" w:eastAsia="仿宋" w:cs="仿宋"/>
          <w:kern w:val="0"/>
          <w:sz w:val="32"/>
          <w:szCs w:val="32"/>
          <w:highlight w:val="none"/>
          <w:lang w:bidi="en-US"/>
        </w:rPr>
        <w:t>实施单位（公章）：</w:t>
      </w:r>
      <w:r>
        <w:rPr>
          <w:rFonts w:hint="eastAsia" w:ascii="仿宋" w:hAnsi="仿宋" w:eastAsia="仿宋" w:cs="仿宋"/>
          <w:kern w:val="0"/>
          <w:sz w:val="32"/>
          <w:szCs w:val="32"/>
          <w:highlight w:val="none"/>
          <w:lang w:val="en-US" w:eastAsia="zh-CN" w:bidi="en-US"/>
        </w:rPr>
        <w:t>新疆维吾尔自治区地质环境监测研究院</w:t>
      </w:r>
    </w:p>
    <w:p>
      <w:pPr>
        <w:pageBreakBefore w:val="0"/>
        <w:kinsoku/>
        <w:wordWrap/>
        <w:topLinePunct w:val="0"/>
        <w:autoSpaceDE/>
        <w:autoSpaceDN/>
        <w:bidi w:val="0"/>
        <w:snapToGrid/>
        <w:spacing w:line="400" w:lineRule="exact"/>
        <w:ind w:left="0" w:leftChars="0" w:firstLine="1280" w:firstLineChars="400"/>
        <w:jc w:val="left"/>
        <w:textAlignment w:val="auto"/>
        <w:rPr>
          <w:rFonts w:hint="eastAsia" w:ascii="仿宋_GB2312" w:hAnsi="Times New Roman" w:cs="Times New Roman"/>
          <w:sz w:val="32"/>
          <w:szCs w:val="32"/>
          <w:lang w:val="en-US" w:eastAsia="zh-CN"/>
        </w:rPr>
      </w:pPr>
      <w:r>
        <w:rPr>
          <w:rFonts w:hint="eastAsia" w:ascii="仿宋" w:hAnsi="仿宋" w:eastAsia="仿宋" w:cs="仿宋"/>
          <w:kern w:val="0"/>
          <w:sz w:val="32"/>
          <w:szCs w:val="32"/>
          <w:highlight w:val="none"/>
          <w:lang w:bidi="en-US"/>
        </w:rPr>
        <w:t>主</w:t>
      </w:r>
      <w:r>
        <w:rPr>
          <w:rFonts w:hint="eastAsia" w:ascii="仿宋" w:hAnsi="仿宋" w:eastAsia="仿宋" w:cs="仿宋"/>
          <w:kern w:val="0"/>
          <w:sz w:val="32"/>
          <w:szCs w:val="32"/>
          <w:highlight w:val="none"/>
          <w:lang w:val="en-US" w:eastAsia="zh-CN" w:bidi="en-US"/>
        </w:rPr>
        <w:t>管部门（</w:t>
      </w:r>
      <w:r>
        <w:rPr>
          <w:rFonts w:hint="eastAsia" w:ascii="仿宋_GB2312" w:hAnsi="Times New Roman" w:cs="Times New Roman"/>
          <w:sz w:val="32"/>
          <w:szCs w:val="32"/>
          <w:lang w:val="en-US" w:eastAsia="zh-CN"/>
        </w:rPr>
        <w:t>公章）：新疆维吾尔自治区自然资源厅</w:t>
      </w:r>
    </w:p>
    <w:p>
      <w:pPr>
        <w:pageBreakBefore w:val="0"/>
        <w:kinsoku/>
        <w:wordWrap/>
        <w:topLinePunct w:val="0"/>
        <w:autoSpaceDE/>
        <w:autoSpaceDN/>
        <w:bidi w:val="0"/>
        <w:snapToGrid/>
        <w:spacing w:line="400" w:lineRule="exact"/>
        <w:ind w:left="0" w:leftChars="0" w:firstLine="1280" w:firstLineChars="400"/>
        <w:jc w:val="left"/>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项目负责人：梁世川</w:t>
      </w:r>
    </w:p>
    <w:p>
      <w:pPr>
        <w:pageBreakBefore w:val="0"/>
        <w:kinsoku/>
        <w:wordWrap/>
        <w:topLinePunct w:val="0"/>
        <w:autoSpaceDE/>
        <w:autoSpaceDN/>
        <w:bidi w:val="0"/>
        <w:snapToGrid/>
        <w:spacing w:line="400" w:lineRule="exact"/>
        <w:ind w:left="0" w:leftChars="0" w:firstLine="1280" w:firstLineChars="400"/>
        <w:jc w:val="left"/>
        <w:textAlignment w:val="auto"/>
        <w:rPr>
          <w:rFonts w:hint="eastAsia" w:ascii="仿宋_GB2312" w:hAnsi="Times New Roman" w:cs="Times New Roman"/>
          <w:sz w:val="32"/>
          <w:szCs w:val="32"/>
          <w:lang w:val="en-US" w:eastAsia="zh-CN"/>
        </w:rPr>
      </w:pPr>
      <w:r>
        <w:rPr>
          <w:rFonts w:hint="eastAsia" w:ascii="仿宋" w:hAnsi="仿宋" w:eastAsia="仿宋" w:cs="仿宋"/>
          <w:kern w:val="0"/>
          <w:sz w:val="32"/>
          <w:szCs w:val="32"/>
          <w:highlight w:val="none"/>
          <w:lang w:val="en-US" w:eastAsia="zh-CN" w:bidi="en-US"/>
        </w:rPr>
        <w:t>填报时间</w:t>
      </w:r>
      <w:r>
        <w:rPr>
          <w:rFonts w:hint="eastAsia" w:ascii="仿宋_GB2312" w:hAnsi="Times New Roman" w:cs="Times New Roman"/>
          <w:sz w:val="32"/>
          <w:szCs w:val="32"/>
          <w:lang w:val="en-US" w:eastAsia="zh-CN"/>
        </w:rPr>
        <w:t>：2026年3月17日</w:t>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ascii="黑体" w:hAnsi="黑体" w:eastAsia="黑体"/>
          <w:b/>
          <w:bCs/>
        </w:rPr>
      </w:pPr>
      <w:r>
        <w:rPr>
          <w:rFonts w:hint="eastAsia" w:ascii="黑体" w:hAnsi="黑体" w:eastAsia="黑体"/>
          <w:b/>
          <w:bCs/>
        </w:rPr>
        <w:t>一、基本情况</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（一）项目概况</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eastAsia" w:ascii="仿宋_GB2312" w:hAnsi="Times New Roman" w:cs="Times New Roman"/>
          <w:lang w:val="en-US" w:eastAsia="zh-CN"/>
        </w:rPr>
      </w:pPr>
      <w:r>
        <w:rPr>
          <w:rFonts w:hint="eastAsia" w:ascii="仿宋_GB2312" w:hAnsi="Times New Roman" w:cs="Times New Roman"/>
          <w:b/>
          <w:bCs/>
          <w:lang w:val="en-US" w:eastAsia="zh-CN"/>
        </w:rPr>
        <w:t>1.项目背景</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rPr>
      </w:pPr>
      <w:r>
        <w:rPr>
          <w:rFonts w:hint="eastAsia" w:ascii="仿宋_GB2312" w:hAnsi="Times New Roman" w:cs="Times New Roman"/>
          <w:sz w:val="32"/>
          <w:szCs w:val="32"/>
        </w:rPr>
        <w:t>为更好</w:t>
      </w:r>
      <w:r>
        <w:rPr>
          <w:rFonts w:hint="eastAsia" w:ascii="仿宋_GB2312" w:cs="Times New Roman"/>
          <w:sz w:val="32"/>
          <w:szCs w:val="32"/>
          <w:lang w:val="en-US" w:eastAsia="zh-CN"/>
        </w:rPr>
        <w:t>地</w:t>
      </w:r>
      <w:r>
        <w:rPr>
          <w:rFonts w:hint="eastAsia" w:ascii="仿宋_GB2312" w:hAnsi="Times New Roman" w:cs="Times New Roman"/>
          <w:sz w:val="32"/>
          <w:szCs w:val="32"/>
        </w:rPr>
        <w:t>推动我区古生物化石保护事业发展，落实《自治区古生物化石保护规划（2024-2035年）》的总体策划和全面部署，循序推进自治区古生物化石保护工作，一是贯彻落实《古生物化石保护条例实施办法》“建立和管理本行政区域的重点保护古生物化石档案和数据库”“组织开展本行政区域内古生物化石保护的科学研究、宣传教育和管理业务培训”等职责；二是加强古生物精细化调查与评价工作，为新疆古生物化石保护的常态化管理提供</w:t>
      </w:r>
      <w:r>
        <w:rPr>
          <w:rFonts w:hint="eastAsia" w:ascii="仿宋_GB2312" w:cs="Times New Roman"/>
          <w:sz w:val="32"/>
          <w:szCs w:val="32"/>
          <w:lang w:eastAsia="zh-CN"/>
        </w:rPr>
        <w:t>翔实</w:t>
      </w:r>
      <w:r>
        <w:rPr>
          <w:rFonts w:hint="eastAsia" w:ascii="仿宋_GB2312" w:hAnsi="Times New Roman" w:cs="Times New Roman"/>
          <w:sz w:val="32"/>
          <w:szCs w:val="32"/>
        </w:rPr>
        <w:t>数据资料支撑（选取我区重要化石产地开展示范调查及相关化石标本收集，补充和完善新疆重点保护古生物化石数据库，实时掌握新疆古生物化石、产地及古生物类项目等相关信息）。</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rPr>
        <w:t>通过对新疆维吾尔自治区乌鲁木齐市—昌吉回族自治州</w:t>
      </w:r>
      <w:r>
        <w:rPr>
          <w:rFonts w:hint="eastAsia" w:ascii="仿宋_GB2312" w:hAnsi="Times New Roman" w:cs="Times New Roman"/>
          <w:sz w:val="32"/>
          <w:szCs w:val="32"/>
          <w:lang w:val="en-US" w:eastAsia="zh-CN"/>
        </w:rPr>
        <w:t>古生物</w:t>
      </w:r>
      <w:r>
        <w:rPr>
          <w:rFonts w:hint="eastAsia" w:ascii="仿宋_GB2312" w:hAnsi="Times New Roman" w:cs="Times New Roman"/>
          <w:sz w:val="32"/>
          <w:szCs w:val="32"/>
        </w:rPr>
        <w:t>化石资源进行全面系统的调查和评价，提出古生物化石保护建议，为相关政府部门保护古生物化石工作提供科学依据，有效促进新疆古生物化石科研、科普以及资源开发等相关工作的高质量推进。</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eastAsia" w:ascii="仿宋_GB2312" w:hAnsi="Times New Roman" w:cs="Times New Roman"/>
          <w:b/>
          <w:bCs/>
        </w:rPr>
      </w:pPr>
      <w:r>
        <w:rPr>
          <w:rFonts w:hint="eastAsia" w:ascii="仿宋_GB2312" w:hAnsi="Times New Roman" w:cs="Times New Roman"/>
          <w:b/>
          <w:bCs/>
          <w:lang w:val="en-US" w:eastAsia="zh-CN"/>
        </w:rPr>
        <w:t>2、</w:t>
      </w:r>
      <w:r>
        <w:rPr>
          <w:rFonts w:hint="eastAsia" w:ascii="仿宋_GB2312" w:hAnsi="Times New Roman" w:cs="Times New Roman"/>
          <w:b/>
          <w:bCs/>
        </w:rPr>
        <w:t>主要内容及实施情况</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default" w:ascii="仿宋_GB2312" w:hAnsi="Times New Roman" w:cs="Times New Roman"/>
          <w:b/>
          <w:bCs/>
          <w:lang w:val="en-US" w:eastAsia="zh-CN"/>
        </w:rPr>
      </w:pPr>
      <w:r>
        <w:rPr>
          <w:rFonts w:hint="eastAsia" w:ascii="仿宋_GB2312" w:hAnsi="Times New Roman" w:cs="Times New Roman"/>
          <w:b/>
          <w:bCs/>
          <w:lang w:eastAsia="zh-CN"/>
        </w:rPr>
        <w:t>（</w:t>
      </w:r>
      <w:r>
        <w:rPr>
          <w:rFonts w:hint="eastAsia" w:ascii="仿宋_GB2312" w:hAnsi="Times New Roman" w:cs="Times New Roman"/>
          <w:b/>
          <w:bCs/>
          <w:lang w:val="en-US" w:eastAsia="zh-CN"/>
        </w:rPr>
        <w:t>1</w:t>
      </w:r>
      <w:r>
        <w:rPr>
          <w:rFonts w:hint="eastAsia" w:ascii="仿宋_GB2312" w:hAnsi="Times New Roman" w:cs="Times New Roman"/>
          <w:b/>
          <w:bCs/>
          <w:lang w:eastAsia="zh-CN"/>
        </w:rPr>
        <w:t>）</w:t>
      </w:r>
      <w:r>
        <w:rPr>
          <w:rFonts w:hint="eastAsia" w:ascii="仿宋_GB2312" w:hAnsi="Times New Roman" w:cs="Times New Roman"/>
          <w:b/>
          <w:bCs/>
          <w:lang w:val="en-US" w:eastAsia="zh-CN"/>
        </w:rPr>
        <w:t>主要内容</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rPr>
      </w:pPr>
      <w:r>
        <w:rPr>
          <w:rFonts w:hint="eastAsia" w:ascii="仿宋_GB2312" w:hAnsi="Times New Roman" w:cs="Times New Roman"/>
          <w:sz w:val="32"/>
          <w:szCs w:val="32"/>
          <w:lang w:val="en-US" w:eastAsia="zh-CN"/>
        </w:rPr>
        <w:t>①</w:t>
      </w:r>
      <w:r>
        <w:rPr>
          <w:rFonts w:hint="eastAsia" w:ascii="仿宋_GB2312" w:hAnsi="Times New Roman" w:cs="Times New Roman"/>
          <w:sz w:val="32"/>
          <w:szCs w:val="32"/>
        </w:rPr>
        <w:t>开展新疆乌鲁木齐市—昌吉回族自治州古生物化石产地调查评价工作，查明调查区内重要古生物化石产地分布现状、保存现状、保护现状、化石赋存情况及基础地质特征，绘制重点古生物化石产地实测剖面图及对应地层柱状图，开展调查区古生物化石评价。</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bookmarkStart w:id="0" w:name="OLE_LINK73"/>
      <w:r>
        <w:rPr>
          <w:rFonts w:hint="eastAsia" w:ascii="仿宋_GB2312" w:hAnsi="Times New Roman" w:cs="Times New Roman"/>
          <w:sz w:val="32"/>
          <w:szCs w:val="32"/>
          <w:lang w:val="en-US" w:eastAsia="zh-CN"/>
        </w:rPr>
        <w:t>②编制新疆乌鲁木齐市—昌吉回族自治州古生物化石产地分布图，全面展示调查区古生物化石产地调查成果。</w:t>
      </w:r>
      <w:bookmarkEnd w:id="0"/>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bookmarkStart w:id="1" w:name="OLE_LINK74"/>
      <w:r>
        <w:rPr>
          <w:rFonts w:hint="eastAsia" w:ascii="仿宋_GB2312" w:hAnsi="Times New Roman" w:cs="Times New Roman"/>
          <w:sz w:val="32"/>
          <w:szCs w:val="32"/>
          <w:lang w:val="en-US" w:eastAsia="zh-CN"/>
        </w:rPr>
        <w:t>③编制新疆乌鲁木齐市—昌吉回族自治州古生物化石产地科普图集，制作科普短视频，以多种形式介绍产地相关信息及赋存特色化石</w:t>
      </w:r>
      <w:bookmarkEnd w:id="1"/>
      <w:r>
        <w:rPr>
          <w:rFonts w:hint="eastAsia" w:ascii="仿宋_GB2312" w:hAnsi="Times New Roman" w:cs="Times New Roman"/>
          <w:sz w:val="32"/>
          <w:szCs w:val="32"/>
          <w:lang w:val="en-US" w:eastAsia="zh-CN"/>
        </w:rPr>
        <w:t>，以科普故事的形式阐述其科学价值，为推动古生物科学普及工作做出积极贡献。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④开展新疆古生物化石收藏机构标本登记与入库工作，查清调查区内馆藏古生物化石标本时代、类别、产地、来源、品相、保护条件等特征信息，补充和完善新疆重点保护古生物化石标本数据库。</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eastAsia" w:ascii="仿宋_GB2312" w:hAnsi="Times New Roman" w:cs="Times New Roman"/>
          <w:b/>
          <w:bCs/>
          <w:lang w:eastAsia="zh-CN"/>
        </w:rPr>
      </w:pPr>
      <w:r>
        <w:rPr>
          <w:rFonts w:hint="eastAsia" w:ascii="仿宋_GB2312" w:hAnsi="Times New Roman" w:cs="Times New Roman"/>
          <w:b/>
          <w:bCs/>
          <w:lang w:eastAsia="zh-CN"/>
        </w:rPr>
        <w:t>（</w:t>
      </w:r>
      <w:r>
        <w:rPr>
          <w:rFonts w:hint="eastAsia" w:ascii="仿宋_GB2312" w:hAnsi="Times New Roman" w:cs="Times New Roman"/>
          <w:b/>
          <w:bCs/>
          <w:lang w:val="en-US" w:eastAsia="zh-CN"/>
        </w:rPr>
        <w:t>2</w:t>
      </w:r>
      <w:r>
        <w:rPr>
          <w:rFonts w:hint="eastAsia" w:ascii="仿宋_GB2312" w:hAnsi="Times New Roman" w:cs="Times New Roman"/>
          <w:b/>
          <w:bCs/>
          <w:lang w:eastAsia="zh-CN"/>
        </w:rPr>
        <w:t>）</w:t>
      </w:r>
      <w:r>
        <w:rPr>
          <w:rFonts w:hint="eastAsia" w:ascii="仿宋_GB2312" w:hAnsi="Times New Roman" w:cs="Times New Roman"/>
          <w:b/>
          <w:bCs/>
        </w:rPr>
        <w:t>实施情况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截至2025年12月，项目已经完成实际设立的目标，项目在实施过程中严格按照目标设立的各阶段任务开展工作，在前期立项过程中严格把质量关，建立安全防护机制，保证项目实施各阶段安全顺利进行。</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2025年项目投资95万元，其中：财政本级资金95万元。项目实际支出95万元，支出率为100%。</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eastAsia" w:ascii="仿宋" w:hAnsi="仿宋" w:eastAsia="仿宋" w:cs="仿宋"/>
          <w:b/>
          <w:bCs/>
          <w:sz w:val="28"/>
          <w:szCs w:val="28"/>
          <w:highlight w:val="none"/>
          <w:lang w:val="en-US" w:eastAsia="zh-CN"/>
        </w:rPr>
      </w:pPr>
      <w:r>
        <w:rPr>
          <w:rFonts w:hint="eastAsia" w:ascii="仿宋_GB2312" w:hAnsi="Times New Roman" w:cs="Times New Roman"/>
          <w:b/>
          <w:bCs/>
          <w:lang w:val="en-US" w:eastAsia="zh-CN"/>
        </w:rPr>
        <w:t>3、</w:t>
      </w:r>
      <w:r>
        <w:rPr>
          <w:rFonts w:hint="eastAsia" w:ascii="仿宋" w:hAnsi="仿宋" w:eastAsia="仿宋" w:cs="仿宋"/>
          <w:b/>
          <w:bCs/>
          <w:sz w:val="28"/>
          <w:szCs w:val="28"/>
          <w:highlight w:val="none"/>
          <w:lang w:val="en-US" w:eastAsia="zh-CN"/>
        </w:rPr>
        <w:t>项目实施主体</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该项目由新疆维吾尔自治区地质环境监测研究院单位实施，内设8个科室，分别是：办公室（人事科）、财务室、总工程师办公室、地质灾害综合研究室、地质 灾害监测预警室、水资源调查监测研究室、地质环境调查评价研究室、地质环境数据应用室。主要职能是（一）开展自治区地 质灾害防治规划与年度防治方案研究编制和实施评估工作；（二）开展自治区地 质灾害防治重大问题调查研究，并提出对策建议；（三）承担地质灾害、水文地 质、水资源、城市地质、古生物化石、矿山地质环境等调查评价、监测和综合 研究；（四）指导自治区重要地质灾害应急调查、监测预警、应急会商并提供决 策支持；（五）负责自治区地质环境信息管理系统建设、管理、使用和维护；（六） 承担自治区地质灾害防治、矿山生态修复等工作技术指导和支撑服务；（七）开 展地质灾害防治、地下水监测、矿山生态修复领域技术研发与推广应用、科技 创新平台建设、标准规范制定、人才培养、对外合作交流、科普宣传等工作；（八） 承担自治区自然资源厅交办的其他工作。</w:t>
      </w:r>
    </w:p>
    <w:p>
      <w:pPr>
        <w:pageBreakBefore w:val="0"/>
        <w:widowControl w:val="0"/>
        <w:kinsoku/>
        <w:wordWrap/>
        <w:overflowPunct/>
        <w:topLinePunct w:val="0"/>
        <w:autoSpaceDE/>
        <w:autoSpaceDN/>
        <w:bidi w:val="0"/>
        <w:adjustRightInd/>
        <w:snapToGrid/>
        <w:spacing w:line="480" w:lineRule="exact"/>
        <w:ind w:left="0" w:leftChars="0" w:firstLine="602" w:firstLineChars="200"/>
        <w:textAlignment w:val="auto"/>
        <w:rPr>
          <w:rFonts w:hint="eastAsia" w:ascii="仿宋_GB2312" w:hAnsi="Times New Roman" w:cs="Times New Roman"/>
          <w:b/>
          <w:bCs/>
          <w:lang w:eastAsia="zh-CN"/>
        </w:rPr>
      </w:pPr>
      <w:r>
        <w:rPr>
          <w:rFonts w:hint="eastAsia" w:ascii="仿宋_GB2312" w:cs="Times New Roman"/>
          <w:b/>
          <w:bCs/>
          <w:lang w:val="en-US" w:eastAsia="zh-CN"/>
        </w:rPr>
        <w:t>4、</w:t>
      </w:r>
      <w:r>
        <w:rPr>
          <w:rFonts w:hint="eastAsia" w:ascii="仿宋_GB2312" w:hAnsi="Times New Roman" w:cs="Times New Roman"/>
          <w:b/>
          <w:bCs/>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（1）项目资金安排落实、总投入等情况分析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关于批复自治区本级2025年部门预算的通知》（新财预〔2025〕1号）文，本年度安排下达资金95万元，为自治区资金，最终确定项目资金总数为95万元。其中：中央财政拨款0万元，自治区财政拨款95万元，本级财政拨款0万元，上年结余0万元。</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（2）</w:t>
      </w:r>
      <w:bookmarkStart w:id="2" w:name="page10"/>
      <w:bookmarkEnd w:id="2"/>
      <w:r>
        <w:rPr>
          <w:rFonts w:hint="eastAsia" w:ascii="仿宋_GB2312" w:hAnsi="Times New Roman" w:cs="Times New Roman"/>
          <w:sz w:val="32"/>
          <w:szCs w:val="32"/>
          <w:lang w:val="en-US" w:eastAsia="zh-CN"/>
        </w:rPr>
        <w:t>项目资金实际使用情况分析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Times New Roman" w:cs="Times New Roman"/>
          <w:sz w:val="32"/>
          <w:szCs w:val="32"/>
          <w:lang w:val="en-US" w:eastAsia="zh-CN"/>
        </w:rPr>
      </w:pPr>
      <w:r>
        <w:rPr>
          <w:rFonts w:hint="eastAsia" w:ascii="仿宋_GB2312" w:hAnsi="Times New Roman" w:cs="Times New Roman"/>
          <w:sz w:val="32"/>
          <w:szCs w:val="32"/>
          <w:lang w:val="en-US" w:eastAsia="zh-CN"/>
        </w:rPr>
        <w:t>截至2025年12月31日，新疆地质遗迹国情调查与评价（古生物化石调查与评价）项目，实际支出95万元，预算执行率100%。主要用于新疆地质遗迹国情调查与评价（古生物化石调查与评价）项目实施。</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b/>
          <w:bCs/>
        </w:rPr>
      </w:pPr>
      <w:r>
        <w:rPr>
          <w:rFonts w:hint="eastAsia" w:ascii="仿宋" w:hAnsi="仿宋" w:eastAsia="仿宋" w:cs="仿宋"/>
          <w:b/>
          <w:bCs/>
          <w:kern w:val="0"/>
          <w:sz w:val="28"/>
          <w:szCs w:val="28"/>
          <w:highlight w:val="none"/>
          <w:lang w:val="en-US" w:eastAsia="zh-CN" w:bidi="ar-SA"/>
        </w:rPr>
        <w:t>（二）项目绩效目标。</w:t>
      </w:r>
    </w:p>
    <w:p>
      <w:pPr>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bCs/>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1、项目绩效总目标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default" w:ascii="仿宋_GB2312" w:hAnsi="Times New Roman" w:cs="Times New Roman"/>
          <w:sz w:val="32"/>
          <w:szCs w:val="32"/>
          <w:lang w:val="en-US" w:eastAsia="zh-CN"/>
        </w:rPr>
      </w:pPr>
      <w:r>
        <w:rPr>
          <w:rFonts w:hint="eastAsia" w:ascii="仿宋_GB2312" w:hAnsi="Times New Roman" w:cs="Times New Roman"/>
          <w:sz w:val="32"/>
          <w:szCs w:val="32"/>
          <w:lang w:val="en-US" w:eastAsia="zh-CN"/>
        </w:rPr>
        <w:t>开展重要古生物化石资源调查及重要古生物化石产地示范调查，优选与矿产资源关系密切的化石产区，开展古生物化石科学研究工作。统筹全疆古生物化石数据库建设，拓展科普平台，宣传新疆特色的古生物产地和化石标本，支撑我区古生物化石资源保护和利用示范展示区建设。</w:t>
      </w:r>
    </w:p>
    <w:p>
      <w:pPr>
        <w:pageBreakBefore w:val="0"/>
        <w:widowControl w:val="0"/>
        <w:numPr>
          <w:ilvl w:val="0"/>
          <w:numId w:val="1"/>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bCs/>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阶段性目标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t>（1）项目产出目标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“全疆古生物化石数据集数量”指标，预期指标值为大于等于1个；</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“化石产地调查数量”指标，预期指标值为大于等于5处；</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“组织开展交流研讨次数”指标，预期指标值为大于等于2次；</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“成果报告审查合格率”指标，预期指标值为大于等于100%；</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“野外调查完成时间”指标，预期指标值为大于等于2025年8月31日前；</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“成果报告完成时间”指标，预期指标值为大于等于2025年11月30日前；</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无此类指标。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（3）项目效益指标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无此类指标。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“编制成果报告”指标，预期指标值为大于等于1份；</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无此类指标。</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ascii="黑体" w:hAnsi="黑体" w:eastAsia="黑体"/>
        </w:rPr>
      </w:pPr>
      <w:r>
        <w:rPr>
          <w:rFonts w:hint="eastAsia" w:ascii="黑体" w:hAnsi="黑体" w:eastAsia="黑体"/>
        </w:rPr>
        <w:t>二、绩效评价工作开展情况</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val="0"/>
          <w:snapToGrid/>
          <w:kern w:val="0"/>
          <w:sz w:val="28"/>
          <w:szCs w:val="28"/>
          <w:highlight w:val="none"/>
          <w:lang w:val="en-US" w:eastAsia="zh-CN" w:bidi="ar-SA"/>
        </w:rPr>
      </w:pPr>
      <w:r>
        <w:rPr>
          <w:rFonts w:hint="eastAsia" w:ascii="方正仿宋_GBK" w:hAnsi="方正仿宋_GBK" w:eastAsia="方正仿宋_GBK" w:cs="方正仿宋_GBK"/>
          <w:b/>
          <w:bCs/>
          <w:snapToGrid/>
          <w:kern w:val="0"/>
          <w:sz w:val="28"/>
          <w:szCs w:val="28"/>
          <w:highlight w:val="none"/>
          <w:lang w:val="en-US" w:eastAsia="zh-CN" w:bidi="ar-SA"/>
        </w:rPr>
        <w:t>（一）绩效评价目的、对象和范围</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napToGrid/>
          <w:kern w:val="0"/>
          <w:sz w:val="28"/>
          <w:szCs w:val="28"/>
          <w:highlight w:val="none"/>
          <w:lang w:val="en-US" w:eastAsia="zh-CN" w:bidi="ar-SA"/>
        </w:rPr>
      </w:pPr>
      <w:r>
        <w:rPr>
          <w:rFonts w:hint="eastAsia" w:ascii="方正仿宋_GBK" w:hAnsi="方正仿宋_GBK" w:eastAsia="方正仿宋_GBK" w:cs="方正仿宋_GBK"/>
          <w:b/>
          <w:bCs/>
          <w:snapToGrid/>
          <w:kern w:val="0"/>
          <w:sz w:val="28"/>
          <w:szCs w:val="28"/>
          <w:highlight w:val="none"/>
          <w:lang w:val="en-US" w:eastAsia="zh-CN" w:bidi="ar-SA"/>
        </w:rPr>
        <w:t>1、绩效评价目的</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（1）项目在实施前向项目负责人提供财政支出绩效方面的资金管理信息，促进项目支出严格按照资金管理规定进行。</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（2）项目绩效管理财政支出运行提供及时、有效的信息。</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综合来看，通过开展有效的财政支出绩效评价管理，达到改进预算管理、控制节约成本，提高预算资金使用效益的目的。</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lang w:val="en-US" w:eastAsia="zh-CN"/>
        </w:rPr>
      </w:pPr>
      <w:r>
        <w:rPr>
          <w:rFonts w:hint="eastAsia" w:ascii="方正仿宋_GBK" w:hAnsi="方正仿宋_GBK" w:eastAsia="方正仿宋_GBK" w:cs="方正仿宋_GBK"/>
          <w:b/>
          <w:bCs/>
          <w:snapToGrid/>
          <w:kern w:val="0"/>
          <w:sz w:val="28"/>
          <w:szCs w:val="28"/>
          <w:highlight w:val="none"/>
          <w:lang w:val="en-US" w:eastAsia="zh-CN" w:bidi="ar-SA"/>
        </w:rPr>
        <w:t>2、绩效评价对象</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本次绩效评价严格遵循财政部《项目支出绩效评价管理办法》（财预〔2020〕10 号）、自治区财政厅《自治区财政支出绩效评价管理暂行办法》（新财预〔2018〕189 号）等相关政策文件规定，评价对象为新疆维吾尔自治区地质环境监测研究院2025 年度实施的新疆地质遗迹国情调查与评价（古生物化石调查与评价）项目 ，涵盖项目全部预算资金及执行过程；以项目实施形成的产出与效果为核心评价内容，围绕推动预算单位实现既定工作任务目标组织开展。</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rPr>
      </w:pPr>
      <w:r>
        <w:rPr>
          <w:rFonts w:hint="eastAsia" w:ascii="方正仿宋_GBK" w:hAnsi="方正仿宋_GBK" w:eastAsia="方正仿宋_GBK" w:cs="方正仿宋_GBK"/>
          <w:b/>
          <w:bCs/>
          <w:snapToGrid/>
          <w:kern w:val="0"/>
          <w:sz w:val="28"/>
          <w:szCs w:val="28"/>
          <w:highlight w:val="none"/>
          <w:lang w:val="en-US" w:eastAsia="zh-CN" w:bidi="ar-SA"/>
        </w:rPr>
        <w:t>3、绩效评价范围</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从项目决策（包括绩效目标、决策过程）、项目管理（包括项目资金、项目实施）、项目产出（包括项目产出数量、产出质量、产出时效）和项目效益四个维度对新疆地质遗迹国情调查与评价（古生物化石调查与评价）项目进行评价，评价核心为专项资金的支出完成情况和效果。</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val="0"/>
          <w:bCs/>
          <w:kern w:val="0"/>
          <w:sz w:val="28"/>
          <w:szCs w:val="28"/>
          <w:highlight w:val="none"/>
          <w:lang w:val="en-US" w:eastAsia="zh-CN" w:bidi="ar-SA"/>
        </w:rPr>
      </w:pPr>
      <w:r>
        <w:rPr>
          <w:rFonts w:hint="eastAsia" w:ascii="方正仿宋_GBK" w:hAnsi="方正仿宋_GBK" w:eastAsia="方正仿宋_GBK" w:cs="方正仿宋_GBK"/>
          <w:b/>
          <w:bCs w:val="0"/>
          <w:kern w:val="0"/>
          <w:sz w:val="28"/>
          <w:szCs w:val="28"/>
          <w:highlight w:val="none"/>
          <w:lang w:val="en-US" w:eastAsia="zh-CN" w:bidi="ar-SA"/>
        </w:rPr>
        <w:t>（二）绩效评价原则、评价指标体系（附表说明）、评价方法、评价标准等</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val="0"/>
          <w:bCs/>
          <w:kern w:val="0"/>
          <w:sz w:val="28"/>
          <w:szCs w:val="28"/>
          <w:highlight w:val="none"/>
          <w:lang w:val="en-US" w:eastAsia="zh-CN" w:bidi="ar-SA"/>
        </w:rPr>
      </w:pPr>
      <w:r>
        <w:rPr>
          <w:rFonts w:hint="eastAsia" w:ascii="方正仿宋_GBK" w:hAnsi="方正仿宋_GBK" w:eastAsia="方正仿宋_GBK" w:cs="方正仿宋_GBK"/>
          <w:b/>
          <w:bCs w:val="0"/>
          <w:kern w:val="0"/>
          <w:sz w:val="28"/>
          <w:szCs w:val="28"/>
          <w:highlight w:val="none"/>
          <w:lang w:val="en-US" w:eastAsia="zh-CN" w:bidi="ar-SA"/>
        </w:rPr>
        <w:t>1、绩效评价原则</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本次项目绩效评价遵循以下基本原则：</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（4）公开透明。绩效评价结果应依法依规公开，并自觉接受社会监督。</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val="0"/>
          <w:kern w:val="0"/>
          <w:sz w:val="28"/>
          <w:szCs w:val="28"/>
          <w:highlight w:val="none"/>
          <w:lang w:val="en-US" w:eastAsia="zh-CN" w:bidi="ar-SA"/>
        </w:rPr>
      </w:pPr>
      <w:r>
        <w:rPr>
          <w:rFonts w:hint="eastAsia" w:ascii="方正仿宋_GBK" w:hAnsi="方正仿宋_GBK" w:eastAsia="方正仿宋_GBK" w:cs="方正仿宋_GBK"/>
          <w:b/>
          <w:bCs w:val="0"/>
          <w:kern w:val="0"/>
          <w:sz w:val="28"/>
          <w:szCs w:val="28"/>
          <w:highlight w:val="none"/>
          <w:lang w:val="en-US" w:eastAsia="zh-CN" w:bidi="ar-SA"/>
        </w:rPr>
        <w:t>2、绩效评价指标体系</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一级指标为：决策、过程、产出、效益。</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二级指标为：项目立项、绩效目标、资金投入、资金管理、组织实施、产出数量、产出质量、产出时效、产出成本、项目效益。</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val="0"/>
          <w:sz w:val="28"/>
          <w:szCs w:val="28"/>
          <w:highlight w:val="none"/>
        </w:rPr>
      </w:pPr>
      <w:r>
        <w:rPr>
          <w:rFonts w:hint="eastAsia" w:ascii="方正仿宋_GBK" w:hAnsi="方正仿宋_GBK" w:eastAsia="方正仿宋_GBK" w:cs="方正仿宋_GBK"/>
          <w:b/>
          <w:bCs w:val="0"/>
          <w:sz w:val="28"/>
          <w:szCs w:val="28"/>
          <w:highlight w:val="none"/>
          <w:lang w:val="en-US" w:eastAsia="zh-CN"/>
        </w:rPr>
        <w:t>3、</w:t>
      </w:r>
      <w:r>
        <w:rPr>
          <w:rFonts w:hint="eastAsia" w:ascii="方正仿宋_GBK" w:hAnsi="方正仿宋_GBK" w:eastAsia="方正仿宋_GBK" w:cs="方正仿宋_GBK"/>
          <w:b/>
          <w:bCs w:val="0"/>
          <w:sz w:val="28"/>
          <w:szCs w:val="28"/>
          <w:highlight w:val="none"/>
        </w:rPr>
        <w:t>绩效评价方法</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（1）比较法</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（2）因素分析法</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val="0"/>
          <w:bCs/>
          <w:sz w:val="28"/>
          <w:szCs w:val="28"/>
          <w:highlight w:val="none"/>
        </w:rPr>
      </w:pPr>
      <w:r>
        <w:rPr>
          <w:rFonts w:hint="eastAsia" w:ascii="方正仿宋_GBK" w:hAnsi="方正仿宋_GBK" w:eastAsia="方正仿宋_GBK" w:cs="方正仿宋_GBK"/>
          <w:b/>
          <w:bCs w:val="0"/>
          <w:sz w:val="28"/>
          <w:szCs w:val="28"/>
          <w:highlight w:val="none"/>
        </w:rPr>
        <w:t>4</w:t>
      </w:r>
      <w:r>
        <w:rPr>
          <w:rFonts w:hint="eastAsia" w:ascii="方正仿宋_GBK" w:hAnsi="方正仿宋_GBK" w:eastAsia="方正仿宋_GBK" w:cs="方正仿宋_GBK"/>
          <w:b/>
          <w:bCs w:val="0"/>
          <w:sz w:val="28"/>
          <w:szCs w:val="28"/>
          <w:highlight w:val="none"/>
          <w:lang w:eastAsia="zh-CN"/>
        </w:rPr>
        <w:t>、</w:t>
      </w:r>
      <w:r>
        <w:rPr>
          <w:rFonts w:hint="eastAsia" w:ascii="方正仿宋_GBK" w:hAnsi="方正仿宋_GBK" w:eastAsia="方正仿宋_GBK" w:cs="方正仿宋_GBK"/>
          <w:b/>
          <w:bCs w:val="0"/>
          <w:sz w:val="28"/>
          <w:szCs w:val="28"/>
          <w:highlight w:val="none"/>
        </w:rPr>
        <w:t>评价标准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bCs/>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（三）绩效评价工作过程</w:t>
      </w:r>
    </w:p>
    <w:p>
      <w:pPr>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rPr>
      </w:pPr>
      <w:r>
        <w:rPr>
          <w:rFonts w:hint="eastAsia" w:ascii="方正仿宋_GBK" w:hAnsi="方正仿宋_GBK" w:eastAsia="方正仿宋_GBK" w:cs="方正仿宋_GBK"/>
          <w:kern w:val="0"/>
          <w:sz w:val="28"/>
          <w:szCs w:val="28"/>
          <w:highlight w:val="none"/>
          <w:lang w:val="en-US" w:eastAsia="zh-CN" w:bidi="ar-SA"/>
        </w:rPr>
        <w:t>1、前期准备</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我单位于2026年2月28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王占和</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：主要负责绩效评价组织协调工作，上情下达，制定绩效评价目标及考核项目；</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朱建华</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：主要负责对接项目承建单位经办人员，组织收集审核项目相关工程资料，审核项目相关文件、实施方案、招投标档案等资料；</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梁世川</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：主要负责对接项目相关财务人员，负责收集查阅项目资金支付财务凭证相关附件资料，审核资金使用合规性、管理机制及操作流程。</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黄媚</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：主要负责记录整理绩效评价过程中存在问题，编制绩效评价目标初稿，撰写绩效评价相关文稿</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2026年2月28日-3月9日</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2026年3月10日-3月17日，评价小组按照绩效评价的原则和规范，对取得的资料进行审查核实，对采集的数据进行分析，按照绩效评价指标评分表逐项进行打分、分析、汇总各方评价结果。</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4.撰写与提交评价报告</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2026年3月18日-</w:t>
      </w:r>
      <w:r>
        <w:rPr>
          <w:rFonts w:hint="eastAsia" w:ascii="仿宋_GB2312" w:hAnsi="仿宋_GB2312" w:cs="仿宋_GB2312"/>
          <w:b w:val="0"/>
          <w:bCs w:val="0"/>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月</w:t>
      </w:r>
      <w:r>
        <w:rPr>
          <w:rFonts w:hint="eastAsia" w:ascii="仿宋_GB2312" w:hAnsi="仿宋_GB2312" w:cs="仿宋_GB2312"/>
          <w:b w:val="0"/>
          <w:bCs w:val="0"/>
          <w:color w:val="000000" w:themeColor="text1"/>
          <w:sz w:val="32"/>
          <w:szCs w:val="32"/>
          <w:highlight w:val="none"/>
          <w:lang w:val="en-US" w:eastAsia="zh-CN"/>
          <w14:textFill>
            <w14:solidFill>
              <w14:schemeClr w14:val="tx1"/>
            </w14:solidFill>
          </w14:textFill>
        </w:rPr>
        <w:t>10</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日，评价小组撰写绩效评价报告，按照新疆维吾尔自治区财政绩效管理信息系统绩效评价模块中统一格式和文本框架撰写绩效评价报告并提交审核。</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5.问题整改</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6.档案整理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建立和落实档案管理制度，将项目相关资料存档，包括但不限于：评价项目基本情况和相关文件、评价实施方案、项目支付资料等相关档案。</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ascii="仿宋_GB2312"/>
        </w:rPr>
      </w:pPr>
      <w:r>
        <w:rPr>
          <w:rFonts w:hint="eastAsia" w:ascii="黑体" w:hAnsi="黑体" w:eastAsia="黑体"/>
        </w:rPr>
        <w:t>三、综合评价情况及评价结论</w:t>
      </w:r>
    </w:p>
    <w:p>
      <w:pPr>
        <w:pStyle w:val="13"/>
        <w:pageBreakBefore w:val="0"/>
        <w:widowControl w:val="0"/>
        <w:kinsoku/>
        <w:wordWrap/>
        <w:overflowPunct/>
        <w:topLinePunct w:val="0"/>
        <w:autoSpaceDE/>
        <w:autoSpaceDN/>
        <w:bidi w:val="0"/>
        <w:adjustRightInd/>
        <w:snapToGrid/>
        <w:spacing w:before="0" w:after="0" w:line="480" w:lineRule="exact"/>
        <w:ind w:left="0" w:leftChars="0" w:firstLine="562" w:firstLine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（一）综合评价情况</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_GB2312" w:hAnsi="仿宋_GB2312" w:eastAsia="仿宋_GB2312" w:cs="仿宋_GB2312"/>
          <w:sz w:val="32"/>
          <w:szCs w:val="32"/>
          <w:highlight w:val="none"/>
        </w:rPr>
      </w:pPr>
      <w:r>
        <w:rPr>
          <w:rFonts w:hint="eastAsia" w:ascii="方正仿宋_GBK" w:hAnsi="方正仿宋_GBK" w:eastAsia="方正仿宋_GBK" w:cs="方正仿宋_GBK"/>
          <w:sz w:val="28"/>
          <w:szCs w:val="28"/>
          <w:highlight w:val="none"/>
          <w:lang w:eastAsia="zh-CN"/>
        </w:rPr>
        <w:t>　</w:t>
      </w:r>
      <w:r>
        <w:rPr>
          <w:rFonts w:hint="eastAsia" w:ascii="仿宋_GB2312" w:hAnsi="仿宋_GB2312" w:eastAsia="仿宋_GB2312" w:cs="仿宋_GB2312"/>
          <w:sz w:val="32"/>
          <w:szCs w:val="32"/>
          <w:highlight w:val="none"/>
          <w:lang w:eastAsia="zh-CN"/>
        </w:rPr>
        <w:t>　</w:t>
      </w:r>
      <w:r>
        <w:rPr>
          <w:rFonts w:hint="eastAsia" w:ascii="仿宋_GB2312" w:hAnsi="仿宋_GB2312" w:eastAsia="仿宋_GB2312" w:cs="仿宋_GB2312"/>
          <w:sz w:val="32"/>
          <w:szCs w:val="32"/>
          <w:highlight w:val="none"/>
        </w:rPr>
        <w:t>依据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项目支出绩效评价管理办法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000000"/>
          <w:sz w:val="32"/>
          <w:szCs w:val="32"/>
          <w:lang w:val="en-US" w:eastAsia="zh-CN"/>
        </w:rPr>
        <w:t>财预〔2020〕10号</w:t>
      </w:r>
      <w:r>
        <w:rPr>
          <w:rFonts w:hint="eastAsia" w:ascii="仿宋_GB2312" w:hAnsi="仿宋_GB2312" w:eastAsia="仿宋_GB2312" w:cs="仿宋_GB2312"/>
          <w:sz w:val="32"/>
          <w:szCs w:val="32"/>
          <w:highlight w:val="none"/>
        </w:rPr>
        <w:t>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评价组对照项目绩效评价指标体系，从决策、过程、产出和效益四个维度，通过数据采集、实地调研和问卷访谈等方式，对“</w:t>
      </w:r>
      <w:r>
        <w:rPr>
          <w:rFonts w:hint="eastAsia" w:ascii="仿宋_GB2312" w:hAnsi="仿宋_GB2312" w:eastAsia="仿宋_GB2312" w:cs="仿宋_GB2312"/>
          <w:color w:val="auto"/>
          <w:kern w:val="0"/>
          <w:sz w:val="32"/>
          <w:szCs w:val="32"/>
          <w:highlight w:val="none"/>
          <w:lang w:val="en-US" w:eastAsia="zh-CN" w:bidi="ar-SA"/>
        </w:rPr>
        <w:t>2025年度新疆地质遗迹国情调查与评价（古生物化石调查与评价）项目</w:t>
      </w:r>
      <w:r>
        <w:rPr>
          <w:rFonts w:hint="eastAsia" w:ascii="仿宋_GB2312" w:hAnsi="仿宋_GB2312" w:eastAsia="仿宋_GB2312" w:cs="仿宋_GB2312"/>
          <w:kern w:val="0"/>
          <w:sz w:val="32"/>
          <w:szCs w:val="32"/>
          <w:highlight w:val="none"/>
          <w:lang w:val="en-US" w:eastAsia="zh-CN" w:bidi="ar-SA"/>
        </w:rPr>
        <w:t>”项目绩效进行客观公正的评价，本项目总得分为</w:t>
      </w:r>
      <w:r>
        <w:rPr>
          <w:rFonts w:hint="eastAsia" w:ascii="仿宋_GB2312" w:hAnsi="仿宋_GB2312" w:eastAsia="仿宋_GB2312" w:cs="仿宋_GB2312"/>
          <w:color w:val="auto"/>
          <w:kern w:val="0"/>
          <w:sz w:val="32"/>
          <w:szCs w:val="32"/>
          <w:highlight w:val="none"/>
          <w:lang w:val="en-US" w:eastAsia="zh-CN" w:bidi="ar-SA"/>
        </w:rPr>
        <w:t>100分，绩效评级属于“</w:t>
      </w:r>
      <w:r>
        <w:rPr>
          <w:rFonts w:hint="eastAsia" w:ascii="仿宋_GB2312" w:hAnsi="仿宋_GB2312" w:eastAsia="仿宋_GB2312" w:cs="仿宋_GB2312"/>
          <w:b w:val="0"/>
          <w:bCs w:val="0"/>
          <w:color w:val="auto"/>
          <w:kern w:val="0"/>
          <w:sz w:val="32"/>
          <w:szCs w:val="32"/>
          <w:highlight w:val="none"/>
          <w:lang w:val="en-US" w:eastAsia="zh-CN" w:bidi="ar-SA"/>
        </w:rPr>
        <w:t>优</w:t>
      </w:r>
      <w:r>
        <w:rPr>
          <w:rFonts w:hint="eastAsia" w:ascii="仿宋_GB2312" w:hAnsi="仿宋_GB2312" w:eastAsia="仿宋_GB2312" w:cs="仿宋_GB2312"/>
          <w:b/>
          <w:bCs/>
          <w:color w:val="auto"/>
          <w:kern w:val="0"/>
          <w:sz w:val="32"/>
          <w:szCs w:val="32"/>
          <w:highlight w:val="none"/>
          <w:lang w:val="en-US" w:eastAsia="zh-CN" w:bidi="ar-SA"/>
        </w:rPr>
        <w:t>”</w:t>
      </w:r>
      <w:r>
        <w:rPr>
          <w:rFonts w:hint="eastAsia" w:ascii="仿宋_GB2312" w:hAnsi="仿宋_GB2312" w:eastAsia="仿宋_GB2312" w:cs="仿宋_GB2312"/>
          <w:color w:val="auto"/>
          <w:kern w:val="0"/>
          <w:sz w:val="32"/>
          <w:szCs w:val="32"/>
          <w:highlight w:val="none"/>
          <w:lang w:val="en-US" w:eastAsia="zh-CN" w:bidi="ar-SA"/>
        </w:rPr>
        <w:t>。其中，决策类指标得分20分，过程类指标得分20分，产出类指标得分40分，效益类指标得分20分。</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1"/>
        <w:rPr>
          <w:rFonts w:hint="eastAsia" w:ascii="仿宋" w:hAnsi="仿宋" w:eastAsia="仿宋" w:cs="仿宋"/>
          <w:b/>
          <w:bCs/>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（二）综合评价结论</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left"/>
        <w:textAlignment w:val="auto"/>
        <w:rPr>
          <w:rFonts w:hint="eastAsia" w:ascii="方正仿宋_GBK" w:hAnsi="方正仿宋_GBK" w:eastAsia="方正仿宋_GBK" w:cs="方正仿宋_GBK"/>
          <w:color w:val="FF0000"/>
          <w:kern w:val="0"/>
          <w:sz w:val="28"/>
          <w:szCs w:val="28"/>
          <w:highlight w:val="none"/>
          <w:lang w:val="en-US" w:eastAsia="zh-CN" w:bidi="ar-SA"/>
        </w:rPr>
      </w:pP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经评价，本项目达到了年初设立的绩效目标，在实施过程中取得了良好的成效，具体表现在：通过建成1个化石数据集、5处化石产地调查、2次专家交流研讨，优选与矿产资源关系密切的化石产区，开展古生物化石科学研究工作，支撑我区古生物化石资源保护和利用示范展示区建设。</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ascii="黑体" w:hAnsi="黑体" w:eastAsia="黑体"/>
        </w:rPr>
      </w:pPr>
      <w:r>
        <w:rPr>
          <w:rFonts w:hint="eastAsia" w:ascii="黑体" w:hAnsi="黑体" w:eastAsia="黑体"/>
        </w:rPr>
        <w:t>四、绩效评价指标分析</w:t>
      </w:r>
    </w:p>
    <w:p>
      <w:pPr>
        <w:pStyle w:val="13"/>
        <w:pageBreakBefore w:val="0"/>
        <w:widowControl w:val="0"/>
        <w:kinsoku/>
        <w:wordWrap/>
        <w:overflowPunct/>
        <w:topLinePunct w:val="0"/>
        <w:autoSpaceDE/>
        <w:autoSpaceDN/>
        <w:bidi w:val="0"/>
        <w:adjustRightInd/>
        <w:snapToGrid/>
        <w:spacing w:before="0" w:after="0" w:line="480" w:lineRule="exact"/>
        <w:ind w:left="0" w:leftChars="0"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（一）项目决策情况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left"/>
        <w:textAlignment w:val="auto"/>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项目决策类指标包括项目立项、绩效目标和资金投入三方面的内容，由6个三级指标构成，权重分为 20 分，实际得分20分，得分率为100%。</w:t>
      </w:r>
    </w:p>
    <w:p>
      <w:pPr>
        <w:pStyle w:val="4"/>
        <w:pageBreakBefore w:val="0"/>
        <w:widowControl w:val="0"/>
        <w:kinsoku/>
        <w:wordWrap/>
        <w:overflowPunct/>
        <w:topLinePunct w:val="0"/>
        <w:autoSpaceDE/>
        <w:autoSpaceDN/>
        <w:bidi w:val="0"/>
        <w:adjustRightInd/>
        <w:snapToGrid/>
        <w:spacing w:before="0" w:after="0" w:line="480" w:lineRule="exact"/>
        <w:ind w:left="0" w:leftChars="0" w:firstLine="562" w:firstLineChars="200"/>
        <w:jc w:val="left"/>
        <w:textAlignment w:val="auto"/>
        <w:rPr>
          <w:rFonts w:hint="default"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1.项目立项情况分析</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32"/>
          <w:szCs w:val="32"/>
          <w:highlight w:val="none"/>
        </w:rPr>
      </w:pPr>
      <w:r>
        <w:rPr>
          <w:rFonts w:hint="eastAsia" w:ascii="方正仿宋_GBK" w:hAnsi="方正仿宋_GBK" w:eastAsia="方正仿宋_GBK" w:cs="方正仿宋_GBK"/>
          <w:b/>
          <w:bCs/>
          <w:sz w:val="28"/>
          <w:szCs w:val="28"/>
          <w:highlight w:val="none"/>
        </w:rPr>
        <w:t>（1）立项依据充分性：</w:t>
      </w:r>
      <w:r>
        <w:rPr>
          <w:rFonts w:hint="eastAsia" w:ascii="仿宋_GB2312" w:hAnsi="仿宋_GB2312" w:eastAsia="仿宋_GB2312" w:cs="仿宋_GB2312"/>
          <w:sz w:val="32"/>
          <w:szCs w:val="32"/>
          <w:lang w:val="en-US" w:eastAsia="zh-CN"/>
        </w:rPr>
        <w:t>《关于批复自治区本级2025年部门预算的通知》（新财预〔2025〕1号）</w:t>
      </w:r>
      <w:r>
        <w:rPr>
          <w:rFonts w:hint="eastAsia" w:ascii="仿宋_GB2312" w:hAnsi="仿宋_GB2312" w:eastAsia="仿宋_GB2312" w:cs="仿宋_GB2312"/>
          <w:sz w:val="32"/>
          <w:szCs w:val="32"/>
          <w:highlight w:val="none"/>
          <w:lang w:val="en-US" w:eastAsia="zh-CN"/>
        </w:rPr>
        <w:t>并结合新疆维吾尔自治区地质环境监测研究院</w:t>
      </w:r>
      <w:r>
        <w:rPr>
          <w:rFonts w:hint="eastAsia" w:ascii="仿宋_GB2312" w:hAnsi="仿宋_GB2312" w:eastAsia="仿宋_GB2312" w:cs="仿宋_GB2312"/>
          <w:sz w:val="32"/>
          <w:szCs w:val="32"/>
          <w:highlight w:val="none"/>
        </w:rPr>
        <w:t>职责组织实施。围绕</w:t>
      </w:r>
      <w:r>
        <w:rPr>
          <w:rFonts w:hint="eastAsia" w:ascii="仿宋_GB2312" w:hAnsi="仿宋_GB2312" w:eastAsia="仿宋_GB2312" w:cs="仿宋_GB2312"/>
          <w:sz w:val="32"/>
          <w:szCs w:val="32"/>
          <w:highlight w:val="none"/>
          <w:lang w:val="en-US" w:eastAsia="zh-CN"/>
        </w:rPr>
        <w:t>新疆维吾尔自治区地质环境监测研究院</w:t>
      </w:r>
      <w:r>
        <w:rPr>
          <w:rFonts w:hint="eastAsia" w:ascii="仿宋_GB2312" w:hAnsi="仿宋_GB2312" w:eastAsia="仿宋_GB2312" w:cs="仿宋_GB2312"/>
          <w:sz w:val="32"/>
          <w:szCs w:val="32"/>
          <w:highlight w:val="none"/>
        </w:rPr>
        <w:t>年度工作重点和工作计划制定经费预算，根据评分标准，该指标不扣分，得3分。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32"/>
          <w:szCs w:val="32"/>
          <w:lang w:val="en-US" w:eastAsia="zh-CN"/>
        </w:rPr>
      </w:pPr>
      <w:r>
        <w:rPr>
          <w:rFonts w:hint="eastAsia" w:ascii="方正仿宋_GBK" w:hAnsi="方正仿宋_GBK" w:eastAsia="方正仿宋_GBK" w:cs="方正仿宋_GBK"/>
          <w:b/>
          <w:bCs/>
          <w:sz w:val="28"/>
          <w:szCs w:val="28"/>
          <w:highlight w:val="none"/>
        </w:rPr>
        <w:t>（2）立项程序规范性：</w:t>
      </w:r>
      <w:r>
        <w:rPr>
          <w:rFonts w:hint="eastAsia" w:ascii="仿宋_GB2312" w:hAnsi="仿宋_GB2312" w:eastAsia="仿宋_GB2312" w:cs="仿宋_GB2312"/>
          <w:sz w:val="32"/>
          <w:szCs w:val="32"/>
          <w:lang w:val="en-US" w:eastAsia="zh-CN"/>
        </w:rPr>
        <w:t>项目申请、设立过程符合相关要求，严格按照审批流程准备符合要求的文件、材料；根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p>
    <w:p>
      <w:pPr>
        <w:pStyle w:val="4"/>
        <w:pageBreakBefore w:val="0"/>
        <w:widowControl w:val="0"/>
        <w:kinsoku/>
        <w:wordWrap/>
        <w:overflowPunct/>
        <w:topLinePunct w:val="0"/>
        <w:autoSpaceDE/>
        <w:autoSpaceDN/>
        <w:bidi w:val="0"/>
        <w:adjustRightInd/>
        <w:snapToGrid/>
        <w:spacing w:before="0" w:after="0" w:line="480" w:lineRule="exact"/>
        <w:ind w:left="0" w:leftChars="0" w:firstLine="562" w:firstLineChars="200"/>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kern w:val="2"/>
          <w:sz w:val="28"/>
          <w:szCs w:val="28"/>
          <w:highlight w:val="none"/>
          <w:lang w:val="en-US" w:eastAsia="zh-CN" w:bidi="ar-SA"/>
        </w:rPr>
        <w:t>2.绩效目标情况分析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b/>
          <w:bCs/>
          <w:sz w:val="28"/>
          <w:szCs w:val="28"/>
          <w:highlight w:val="none"/>
        </w:rPr>
        <w:t>（</w:t>
      </w:r>
      <w:r>
        <w:rPr>
          <w:rFonts w:hint="eastAsia" w:ascii="方正仿宋_GBK" w:hAnsi="方正仿宋_GBK" w:eastAsia="方正仿宋_GBK" w:cs="方正仿宋_GBK"/>
          <w:b/>
          <w:bCs/>
          <w:sz w:val="28"/>
          <w:szCs w:val="28"/>
          <w:highlight w:val="none"/>
          <w:lang w:val="en-US" w:eastAsia="zh-CN"/>
        </w:rPr>
        <w:t>1</w:t>
      </w:r>
      <w:r>
        <w:rPr>
          <w:rFonts w:hint="eastAsia" w:ascii="方正仿宋_GBK" w:hAnsi="方正仿宋_GBK" w:eastAsia="方正仿宋_GBK" w:cs="方正仿宋_GBK"/>
          <w:b/>
          <w:bCs/>
          <w:sz w:val="28"/>
          <w:szCs w:val="28"/>
          <w:highlight w:val="none"/>
        </w:rPr>
        <w:t>）绩效目标合理性</w:t>
      </w:r>
      <w:r>
        <w:rPr>
          <w:rFonts w:hint="eastAsia" w:ascii="方正仿宋_GBK" w:hAnsi="方正仿宋_GBK" w:eastAsia="方正仿宋_GBK" w:cs="方正仿宋_GBK"/>
          <w:sz w:val="28"/>
          <w:szCs w:val="28"/>
          <w:highlight w:val="none"/>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①该项目已设置年度绩效目标，具体内容为“开展重要古生物化石资源调查及重要古生物化石产地示范调查，优选与矿产资源关系密切的化石产区，开展古生物化石科学研究工作。统筹全疆古生物化石数据库建设，拓展科普平台，宣传新疆特色的古生物产地和化石标本，支撑我区古生物化石资源保护和利用示范展示区建设。”</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②该项目实际工作内容为：通过建成1个化石数据集、5处化石产地调查、2次专家交流研讨，优选与矿产资源关系密切的化石产区，开展古生物化石科学研究工作，支撑我区古生物化石资源保护和利用示范展示区建设。绩效目标与实际工作内容一致，两者具有相关性。</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③该项目按照绩效目标完成数量指标、质量指标、时效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指标、效益指标</w:t>
      </w:r>
      <w:r>
        <w:rPr>
          <w:rFonts w:hint="eastAsia" w:ascii="仿宋_GB2312" w:hAnsi="仿宋_GB2312" w:eastAsia="仿宋_GB2312" w:cs="仿宋_GB2312"/>
          <w:color w:val="000000" w:themeColor="text1"/>
          <w:sz w:val="32"/>
          <w:szCs w:val="32"/>
          <w:highlight w:val="none"/>
          <w14:textFill>
            <w14:solidFill>
              <w14:schemeClr w14:val="tx1"/>
            </w14:solidFill>
          </w14:textFill>
        </w:rPr>
        <w:t>，完成了5处化石产地调查、建成1个化石数据集、2次专家交流研讨，优选与矿产资源关系密切的化石产区，支撑我区古生物化石资源保护和利用示范展示区建设，预期产出效益和效果符合正常的业绩水平。</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④该项目批复的预算金额为</w:t>
      </w:r>
      <w:r>
        <w:rPr>
          <w:rFonts w:hint="eastAsia" w:ascii="仿宋_GB2312" w:hAnsi="仿宋_GB2312" w:eastAsia="仿宋_GB2312" w:cs="仿宋_GB2312"/>
          <w:sz w:val="32"/>
          <w:szCs w:val="32"/>
          <w:highlight w:val="none"/>
          <w:lang w:val="en-US" w:eastAsia="zh-CN"/>
        </w:rPr>
        <w:t>95.00</w:t>
      </w:r>
      <w:r>
        <w:rPr>
          <w:rFonts w:hint="eastAsia" w:ascii="仿宋_GB2312" w:hAnsi="仿宋_GB2312" w:eastAsia="仿宋_GB2312" w:cs="仿宋_GB2312"/>
          <w:sz w:val="32"/>
          <w:szCs w:val="32"/>
          <w:highlight w:val="none"/>
        </w:rPr>
        <w:t>万元，《项目支出绩效目标表》中预算金额为</w:t>
      </w:r>
      <w:r>
        <w:rPr>
          <w:rFonts w:hint="eastAsia" w:ascii="仿宋_GB2312" w:hAnsi="仿宋_GB2312" w:eastAsia="仿宋_GB2312" w:cs="仿宋_GB2312"/>
          <w:sz w:val="32"/>
          <w:szCs w:val="32"/>
          <w:highlight w:val="none"/>
          <w:lang w:val="en-US" w:eastAsia="zh-CN"/>
        </w:rPr>
        <w:t>95.00</w:t>
      </w:r>
      <w:r>
        <w:rPr>
          <w:rFonts w:hint="eastAsia" w:ascii="仿宋_GB2312" w:hAnsi="仿宋_GB2312" w:eastAsia="仿宋_GB2312" w:cs="仿宋_GB2312"/>
          <w:sz w:val="32"/>
          <w:szCs w:val="32"/>
          <w:highlight w:val="none"/>
        </w:rPr>
        <w:t>万元，预算确定的项目资金与预算确定的项目投资额相匹配。</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⑤本单位</w:t>
      </w:r>
      <w:r>
        <w:rPr>
          <w:rFonts w:hint="eastAsia" w:ascii="仿宋_GB2312" w:hAnsi="仿宋_GB2312" w:eastAsia="仿宋_GB2312" w:cs="仿宋_GB2312"/>
          <w:sz w:val="32"/>
          <w:szCs w:val="32"/>
          <w:highlight w:val="none"/>
        </w:rPr>
        <w:t>制定了实施方案，明确了总体思路及目标、并对任务进行了详细分解，对目标进行了细化</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根据评分标准，该指标不扣分，得3分。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方正仿宋_GBK" w:hAnsi="方正仿宋_GBK" w:eastAsia="方正仿宋_GBK" w:cs="方正仿宋_GBK"/>
          <w:b/>
          <w:bCs/>
          <w:sz w:val="28"/>
          <w:szCs w:val="28"/>
          <w:highlight w:val="none"/>
        </w:rPr>
        <w:t>（</w:t>
      </w:r>
      <w:r>
        <w:rPr>
          <w:rFonts w:hint="eastAsia" w:ascii="方正仿宋_GBK" w:hAnsi="方正仿宋_GBK" w:eastAsia="方正仿宋_GBK" w:cs="方正仿宋_GBK"/>
          <w:b/>
          <w:bCs/>
          <w:sz w:val="28"/>
          <w:szCs w:val="28"/>
          <w:highlight w:val="none"/>
          <w:lang w:val="en-US" w:eastAsia="zh-CN"/>
        </w:rPr>
        <w:t>2</w:t>
      </w:r>
      <w:r>
        <w:rPr>
          <w:rFonts w:hint="eastAsia" w:ascii="方正仿宋_GBK" w:hAnsi="方正仿宋_GBK" w:eastAsia="方正仿宋_GBK" w:cs="方正仿宋_GBK"/>
          <w:b/>
          <w:bCs/>
          <w:sz w:val="28"/>
          <w:szCs w:val="28"/>
          <w:highlight w:val="none"/>
        </w:rPr>
        <w:t>）绩效指标明确性：</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经检查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我单位年初设置的</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《项目支出绩效目标表》，得出如下结论：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项目已将年度绩效目标进行细化为绩效指标体系，共设置一级指标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个，二级指标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个，三级指标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个</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定量指标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个，定性指标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个，指标量化率为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71.43</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%，量化率达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70.0</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%以上</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该《项目绩效目标申报表》中，数量指标指标值为“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建立全奖古生物化石数据集1个，化石产地调查5次，组织开展交流研讨2次</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三级指标的年度指标值与年度绩效目标中任务数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一致，已设置时效指标“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成果报告完成时间、野外调查完成时间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”。已设置的绩效目标具备明确性、可衡量性、可实现性、相关性、时限性。</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根据评分标准，该指标不扣分，得2分。</w:t>
      </w:r>
    </w:p>
    <w:p>
      <w:pPr>
        <w:pStyle w:val="4"/>
        <w:pageBreakBefore w:val="0"/>
        <w:widowControl w:val="0"/>
        <w:kinsoku/>
        <w:wordWrap/>
        <w:overflowPunct/>
        <w:topLinePunct w:val="0"/>
        <w:autoSpaceDE/>
        <w:autoSpaceDN/>
        <w:bidi w:val="0"/>
        <w:adjustRightInd/>
        <w:snapToGrid/>
        <w:spacing w:before="0" w:after="0" w:line="480" w:lineRule="exact"/>
        <w:ind w:left="0" w:leftChars="0" w:firstLine="562" w:firstLineChars="200"/>
        <w:jc w:val="left"/>
        <w:textAlignment w:val="auto"/>
        <w:rPr>
          <w:rFonts w:hint="eastAsia" w:ascii="方正仿宋_GBK" w:hAnsi="方正仿宋_GBK" w:eastAsia="方正仿宋_GBK" w:cs="方正仿宋_GBK"/>
          <w:b/>
          <w:bCs/>
          <w:kern w:val="2"/>
          <w:sz w:val="28"/>
          <w:szCs w:val="28"/>
          <w:highlight w:val="none"/>
          <w:lang w:val="en-US" w:eastAsia="zh-CN" w:bidi="ar-SA"/>
        </w:rPr>
      </w:pPr>
      <w:r>
        <w:rPr>
          <w:rFonts w:hint="eastAsia" w:ascii="方正仿宋_GBK" w:hAnsi="方正仿宋_GBK" w:eastAsia="方正仿宋_GBK" w:cs="方正仿宋_GBK"/>
          <w:b/>
          <w:bCs/>
          <w:kern w:val="2"/>
          <w:sz w:val="28"/>
          <w:szCs w:val="28"/>
          <w:highlight w:val="none"/>
          <w:lang w:val="en-US" w:eastAsia="zh-CN" w:bidi="ar-SA"/>
        </w:rPr>
        <w:t>3.资金投入情况分析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方正仿宋_GBK" w:hAnsi="方正仿宋_GBK" w:eastAsia="方正仿宋_GBK" w:cs="方正仿宋_GBK"/>
          <w:b/>
          <w:bCs/>
          <w:sz w:val="28"/>
          <w:szCs w:val="28"/>
          <w:highlight w:val="none"/>
        </w:rPr>
        <w:t>（</w:t>
      </w:r>
      <w:r>
        <w:rPr>
          <w:rFonts w:hint="eastAsia" w:ascii="方正仿宋_GBK" w:hAnsi="方正仿宋_GBK" w:eastAsia="方正仿宋_GBK" w:cs="方正仿宋_GBK"/>
          <w:b/>
          <w:bCs/>
          <w:sz w:val="28"/>
          <w:szCs w:val="28"/>
          <w:highlight w:val="none"/>
          <w:lang w:val="en-US" w:eastAsia="zh-CN"/>
        </w:rPr>
        <w:t>1</w:t>
      </w:r>
      <w:r>
        <w:rPr>
          <w:rFonts w:hint="eastAsia" w:ascii="方正仿宋_GBK" w:hAnsi="方正仿宋_GBK" w:eastAsia="方正仿宋_GBK" w:cs="方正仿宋_GBK"/>
          <w:b/>
          <w:bCs/>
          <w:sz w:val="28"/>
          <w:szCs w:val="28"/>
          <w:highlight w:val="none"/>
        </w:rPr>
        <w:t>）预算编制科学性：</w:t>
      </w:r>
      <w:r>
        <w:rPr>
          <w:rFonts w:hint="eastAsia" w:ascii="仿宋_GB2312" w:hAnsi="仿宋_GB2312" w:eastAsia="仿宋_GB2312" w:cs="仿宋_GB2312"/>
          <w:color w:val="000000" w:themeColor="text1"/>
          <w:sz w:val="32"/>
          <w:szCs w:val="32"/>
          <w:highlight w:val="none"/>
          <w14:textFill>
            <w14:solidFill>
              <w14:schemeClr w14:val="tx1"/>
            </w14:solidFill>
          </w14:textFill>
        </w:rPr>
        <w:t>本项目预算申请资金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95.00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万元，我单位在预算申请中严格按照项目实施内容及测算标准进行核算，其中：</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委托业务</w:t>
      </w:r>
      <w:r>
        <w:rPr>
          <w:rFonts w:hint="eastAsia" w:ascii="仿宋_GB2312" w:hAnsi="仿宋_GB2312" w:eastAsia="仿宋_GB2312" w:cs="仿宋_GB2312"/>
          <w:color w:val="000000" w:themeColor="text1"/>
          <w:sz w:val="32"/>
          <w:szCs w:val="32"/>
          <w:highlight w:val="none"/>
          <w14:textFill>
            <w14:solidFill>
              <w14:schemeClr w14:val="tx1"/>
            </w14:solidFill>
          </w14:textFill>
        </w:rPr>
        <w:t>费用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80.00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劳务</w:t>
      </w:r>
      <w:r>
        <w:rPr>
          <w:rFonts w:hint="eastAsia" w:ascii="仿宋_GB2312" w:hAnsi="仿宋_GB2312" w:eastAsia="仿宋_GB2312" w:cs="仿宋_GB2312"/>
          <w:color w:val="000000" w:themeColor="text1"/>
          <w:sz w:val="32"/>
          <w:szCs w:val="32"/>
          <w:highlight w:val="none"/>
          <w14:textFill>
            <w14:solidFill>
              <w14:schemeClr w14:val="tx1"/>
            </w14:solidFill>
          </w14:textFill>
        </w:rPr>
        <w:t>费用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12.96</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差旅</w:t>
      </w:r>
      <w:r>
        <w:rPr>
          <w:rFonts w:hint="eastAsia" w:ascii="仿宋_GB2312" w:hAnsi="仿宋_GB2312" w:eastAsia="仿宋_GB2312" w:cs="仿宋_GB2312"/>
          <w:color w:val="000000" w:themeColor="text1"/>
          <w:sz w:val="32"/>
          <w:szCs w:val="32"/>
          <w:highlight w:val="none"/>
          <w14:textFill>
            <w14:solidFill>
              <w14:schemeClr w14:val="tx1"/>
            </w14:solidFill>
          </w14:textFill>
        </w:rPr>
        <w:t>费用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0.74</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办公费用0.65万元、其他交通费用0.65万元</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。预算确定资金量与实际工作任务相匹配。本项目预算额度测算依据充分，严格按照标准编制，预算确定资金量与实际工作任务相匹配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根据评分标准，该指标不扣分，得5分。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方正仿宋_GBK" w:hAnsi="方正仿宋_GBK" w:eastAsia="方正仿宋_GBK" w:cs="方正仿宋_GBK"/>
          <w:b/>
          <w:bCs/>
          <w:sz w:val="28"/>
          <w:szCs w:val="28"/>
          <w:highlight w:val="none"/>
        </w:rPr>
        <w:t>（</w:t>
      </w:r>
      <w:r>
        <w:rPr>
          <w:rFonts w:hint="eastAsia" w:ascii="方正仿宋_GBK" w:hAnsi="方正仿宋_GBK" w:eastAsia="方正仿宋_GBK" w:cs="方正仿宋_GBK"/>
          <w:b/>
          <w:bCs/>
          <w:sz w:val="28"/>
          <w:szCs w:val="28"/>
          <w:highlight w:val="none"/>
          <w:lang w:val="en-US" w:eastAsia="zh-CN"/>
        </w:rPr>
        <w:t>2</w:t>
      </w:r>
      <w:r>
        <w:rPr>
          <w:rFonts w:hint="eastAsia" w:ascii="方正仿宋_GBK" w:hAnsi="方正仿宋_GBK" w:eastAsia="方正仿宋_GBK" w:cs="方正仿宋_GBK"/>
          <w:b/>
          <w:bCs/>
          <w:sz w:val="28"/>
          <w:szCs w:val="28"/>
          <w:highlight w:val="none"/>
        </w:rPr>
        <w:t>）资金分配合理性：</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资金分配按照《关于批复自治区本级2025年部门预算的通知》（新财预〔2025〕1号）文件要求，</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100%用于项目实施</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资金分配与实际相适应，根据评分标准，该指标不扣分，得5分</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pStyle w:val="13"/>
        <w:pageBreakBefore w:val="0"/>
        <w:widowControl w:val="0"/>
        <w:kinsoku/>
        <w:wordWrap/>
        <w:overflowPunct/>
        <w:topLinePunct w:val="0"/>
        <w:autoSpaceDE/>
        <w:autoSpaceDN/>
        <w:bidi w:val="0"/>
        <w:adjustRightInd/>
        <w:snapToGrid/>
        <w:spacing w:before="0" w:after="0" w:line="480" w:lineRule="exact"/>
        <w:ind w:left="0" w:leftChars="0" w:firstLine="562" w:firstLine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（二）项目过程情况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sz w:val="32"/>
          <w:szCs w:val="32"/>
          <w:highlight w:val="none"/>
          <w:lang w:val="en-US" w:eastAsia="zh-CN"/>
        </w:rPr>
      </w:pPr>
      <w:r>
        <w:rPr>
          <w:rFonts w:hint="eastAsia" w:ascii="方正仿宋_GBK" w:hAnsi="方正仿宋_GBK" w:eastAsia="方正仿宋_GBK" w:cs="方正仿宋_GBK"/>
          <w:sz w:val="28"/>
          <w:szCs w:val="28"/>
          <w:highlight w:val="none"/>
          <w:lang w:eastAsia="zh-CN"/>
        </w:rPr>
        <w:t>　　</w:t>
      </w:r>
      <w:r>
        <w:rPr>
          <w:rFonts w:hint="eastAsia" w:ascii="仿宋_GB2312" w:hAnsi="仿宋_GB2312" w:eastAsia="仿宋_GB2312" w:cs="仿宋_GB2312"/>
          <w:sz w:val="32"/>
          <w:szCs w:val="32"/>
          <w:highlight w:val="none"/>
          <w:lang w:val="en-US" w:eastAsia="zh-CN"/>
        </w:rPr>
        <w:t>项目过程类指标包括资金管理和组织实施两方面的内容，由 5个三级指标构成，权重分为20分，实际得分20 分，得分率为100%。</w:t>
      </w:r>
    </w:p>
    <w:p>
      <w:pPr>
        <w:pageBreakBefore w:val="0"/>
        <w:widowControl w:val="0"/>
        <w:kinsoku/>
        <w:wordWrap/>
        <w:overflowPunct/>
        <w:topLinePunct w:val="0"/>
        <w:autoSpaceDE/>
        <w:autoSpaceDN/>
        <w:bidi w:val="0"/>
        <w:adjustRightInd/>
        <w:snapToGrid/>
        <w:spacing w:line="480" w:lineRule="exact"/>
        <w:ind w:left="0" w:leftChars="0" w:firstLine="562" w:firstLineChars="200"/>
        <w:jc w:val="both"/>
        <w:textAlignment w:val="auto"/>
        <w:outlineLvl w:val="9"/>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highlight w:val="none"/>
          <w:lang w:val="en-US" w:eastAsia="zh-CN"/>
        </w:rPr>
        <w:t>1.</w:t>
      </w:r>
      <w:r>
        <w:rPr>
          <w:rFonts w:hint="eastAsia" w:ascii="方正仿宋_GBK" w:hAnsi="方正仿宋_GBK" w:eastAsia="方正仿宋_GBK" w:cs="方正仿宋_GBK"/>
          <w:b/>
          <w:bCs/>
          <w:sz w:val="28"/>
          <w:szCs w:val="28"/>
        </w:rPr>
        <w:t>资金管理情况分析</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方正仿宋_GBK" w:hAnsi="方正仿宋_GBK" w:eastAsia="方正仿宋_GBK" w:cs="方正仿宋_GBK"/>
          <w:b/>
          <w:bCs/>
          <w:sz w:val="28"/>
          <w:szCs w:val="28"/>
          <w:highlight w:val="none"/>
          <w:lang w:eastAsia="zh-CN"/>
        </w:rPr>
        <w:t>（</w:t>
      </w:r>
      <w:r>
        <w:rPr>
          <w:rFonts w:hint="eastAsia" w:ascii="方正仿宋_GBK" w:hAnsi="方正仿宋_GBK" w:eastAsia="方正仿宋_GBK" w:cs="方正仿宋_GBK"/>
          <w:b/>
          <w:bCs/>
          <w:sz w:val="28"/>
          <w:szCs w:val="28"/>
          <w:highlight w:val="none"/>
          <w:lang w:val="en-US" w:eastAsia="zh-CN"/>
        </w:rPr>
        <w:t>1</w:t>
      </w:r>
      <w:r>
        <w:rPr>
          <w:rFonts w:hint="eastAsia" w:ascii="方正仿宋_GBK" w:hAnsi="方正仿宋_GBK" w:eastAsia="方正仿宋_GBK" w:cs="方正仿宋_GBK"/>
          <w:b/>
          <w:bCs/>
          <w:sz w:val="28"/>
          <w:szCs w:val="28"/>
          <w:highlight w:val="none"/>
          <w:lang w:eastAsia="zh-CN"/>
        </w:rPr>
        <w:t>）</w:t>
      </w:r>
      <w:r>
        <w:rPr>
          <w:rFonts w:hint="eastAsia" w:ascii="方正仿宋_GBK" w:hAnsi="方正仿宋_GBK" w:eastAsia="方正仿宋_GBK" w:cs="方正仿宋_GBK"/>
          <w:b/>
          <w:bCs/>
          <w:sz w:val="28"/>
          <w:szCs w:val="28"/>
          <w:highlight w:val="none"/>
        </w:rPr>
        <w:t>资金到位率：</w:t>
      </w:r>
      <w:r>
        <w:rPr>
          <w:rFonts w:hint="eastAsia" w:ascii="仿宋_GB2312" w:hAnsi="仿宋_GB2312" w:eastAsia="仿宋_GB2312" w:cs="仿宋_GB2312"/>
          <w:sz w:val="32"/>
          <w:szCs w:val="32"/>
          <w:highlight w:val="none"/>
          <w:lang w:val="en-US" w:eastAsia="zh-CN"/>
        </w:rPr>
        <w:t>该项目总投资95万元，自治区财政实际下达经费95万元，其中当年财政拨款95万元，上年结转资金0万元，财政资金足额拨付到位，根据评分标准，该指标不扣分，得5分。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方正仿宋_GBK" w:hAnsi="方正仿宋_GBK" w:eastAsia="方正仿宋_GBK" w:cs="方正仿宋_GBK"/>
          <w:b/>
          <w:bCs/>
          <w:sz w:val="28"/>
          <w:szCs w:val="28"/>
          <w:highlight w:val="none"/>
          <w:lang w:eastAsia="zh-CN"/>
        </w:rPr>
        <w:t>（</w:t>
      </w:r>
      <w:r>
        <w:rPr>
          <w:rFonts w:hint="eastAsia" w:ascii="方正仿宋_GBK" w:hAnsi="方正仿宋_GBK" w:eastAsia="方正仿宋_GBK" w:cs="方正仿宋_GBK"/>
          <w:b/>
          <w:bCs/>
          <w:sz w:val="28"/>
          <w:szCs w:val="28"/>
          <w:highlight w:val="none"/>
          <w:lang w:val="en-US" w:eastAsia="zh-CN"/>
        </w:rPr>
        <w:t>2</w:t>
      </w:r>
      <w:r>
        <w:rPr>
          <w:rFonts w:hint="eastAsia" w:ascii="方正仿宋_GBK" w:hAnsi="方正仿宋_GBK" w:eastAsia="方正仿宋_GBK" w:cs="方正仿宋_GBK"/>
          <w:b/>
          <w:bCs/>
          <w:sz w:val="28"/>
          <w:szCs w:val="28"/>
          <w:highlight w:val="none"/>
          <w:lang w:eastAsia="zh-CN"/>
        </w:rPr>
        <w:t>）</w:t>
      </w:r>
      <w:r>
        <w:rPr>
          <w:rFonts w:hint="eastAsia" w:ascii="方正仿宋_GBK" w:hAnsi="方正仿宋_GBK" w:eastAsia="方正仿宋_GBK" w:cs="方正仿宋_GBK"/>
          <w:b/>
          <w:bCs/>
          <w:sz w:val="28"/>
          <w:szCs w:val="28"/>
          <w:highlight w:val="none"/>
        </w:rPr>
        <w:t>预算执行率：</w:t>
      </w:r>
      <w:r>
        <w:rPr>
          <w:rFonts w:hint="eastAsia" w:ascii="仿宋_GB2312" w:hAnsi="仿宋_GB2312" w:eastAsia="仿宋_GB2312" w:cs="仿宋_GB2312"/>
          <w:sz w:val="32"/>
          <w:szCs w:val="32"/>
          <w:highlight w:val="none"/>
          <w:lang w:val="en-US" w:eastAsia="zh-CN"/>
        </w:rPr>
        <w:t>本项目申请预算金额为95万元，预算批复实际下达金额为 95万元截至2025年12月 31日，资金执行95万元，资金执行率100%。项目资金支出总体能够按照预算执行，根据评分标准，该指标不扣分，得5分。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方正仿宋_GBK" w:hAnsi="方正仿宋_GBK" w:eastAsia="方正仿宋_GBK" w:cs="方正仿宋_GBK"/>
          <w:b/>
          <w:bCs/>
          <w:sz w:val="28"/>
          <w:szCs w:val="28"/>
          <w:highlight w:val="none"/>
        </w:rPr>
        <w:t>（3）资金使用合规性：</w:t>
      </w:r>
      <w:r>
        <w:rPr>
          <w:rFonts w:hint="eastAsia" w:ascii="仿宋_GB2312" w:hAnsi="仿宋_GB2312" w:eastAsia="仿宋_GB2312" w:cs="仿宋_GB2312"/>
          <w:sz w:val="32"/>
          <w:szCs w:val="32"/>
          <w:highlight w:val="none"/>
          <w:lang w:val="en-US" w:eastAsia="zh-CN"/>
        </w:rPr>
        <w:t>根据《关于批复自治区本级2025年部门预算的通知》（新财预〔2025〕1号）符合预算批复规定用途，不存在截留、挤占、挪用、虚列支出等情况，未发现违规使用情况，根据评分标准，该指标不扣分，得5分。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9"/>
        <w:rPr>
          <w:rFonts w:hint="eastAsia" w:ascii="方正仿宋_GBK" w:hAnsi="方正仿宋_GBK" w:eastAsia="方正仿宋_GBK" w:cs="方正仿宋_GBK"/>
          <w:b/>
          <w:bCs w:val="0"/>
          <w:sz w:val="28"/>
          <w:szCs w:val="28"/>
          <w:lang w:val="en-US" w:eastAsia="zh-CN"/>
        </w:rPr>
      </w:pPr>
      <w:r>
        <w:rPr>
          <w:rFonts w:hint="eastAsia" w:ascii="方正仿宋_GBK" w:hAnsi="方正仿宋_GBK" w:eastAsia="方正仿宋_GBK" w:cs="方正仿宋_GBK"/>
          <w:b/>
          <w:bCs w:val="0"/>
          <w:sz w:val="28"/>
          <w:szCs w:val="28"/>
          <w:lang w:val="en-US" w:eastAsia="zh-CN"/>
        </w:rPr>
        <w:t>2.</w:t>
      </w:r>
      <w:r>
        <w:rPr>
          <w:rFonts w:hint="eastAsia" w:ascii="方正仿宋_GBK" w:hAnsi="方正仿宋_GBK" w:eastAsia="方正仿宋_GBK" w:cs="方正仿宋_GBK"/>
          <w:b/>
          <w:bCs w:val="0"/>
          <w:sz w:val="28"/>
          <w:szCs w:val="28"/>
        </w:rPr>
        <w:t>组织实施情况分析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sz w:val="32"/>
          <w:szCs w:val="32"/>
          <w:highlight w:val="none"/>
        </w:rPr>
      </w:pPr>
      <w:r>
        <w:rPr>
          <w:rFonts w:hint="eastAsia" w:ascii="方正仿宋_GBK" w:hAnsi="方正仿宋_GBK" w:eastAsia="方正仿宋_GBK" w:cs="方正仿宋_GBK"/>
          <w:b/>
          <w:bCs/>
          <w:sz w:val="28"/>
          <w:szCs w:val="28"/>
          <w:highlight w:val="none"/>
          <w:lang w:eastAsia="zh-CN"/>
        </w:rPr>
        <w:t>（</w:t>
      </w:r>
      <w:r>
        <w:rPr>
          <w:rFonts w:hint="eastAsia" w:ascii="方正仿宋_GBK" w:hAnsi="方正仿宋_GBK" w:eastAsia="方正仿宋_GBK" w:cs="方正仿宋_GBK"/>
          <w:b/>
          <w:bCs/>
          <w:sz w:val="28"/>
          <w:szCs w:val="28"/>
          <w:highlight w:val="none"/>
          <w:lang w:val="en-US" w:eastAsia="zh-CN"/>
        </w:rPr>
        <w:t>1</w:t>
      </w:r>
      <w:r>
        <w:rPr>
          <w:rFonts w:hint="eastAsia" w:ascii="方正仿宋_GBK" w:hAnsi="方正仿宋_GBK" w:eastAsia="方正仿宋_GBK" w:cs="方正仿宋_GBK"/>
          <w:b/>
          <w:bCs/>
          <w:sz w:val="28"/>
          <w:szCs w:val="28"/>
          <w:highlight w:val="none"/>
          <w:lang w:eastAsia="zh-CN"/>
        </w:rPr>
        <w:t>）</w:t>
      </w:r>
      <w:r>
        <w:rPr>
          <w:rFonts w:hint="eastAsia" w:ascii="方正仿宋_GBK" w:hAnsi="方正仿宋_GBK" w:eastAsia="方正仿宋_GBK" w:cs="方正仿宋_GBK"/>
          <w:b/>
          <w:bCs/>
          <w:sz w:val="28"/>
          <w:szCs w:val="28"/>
          <w:highlight w:val="none"/>
        </w:rPr>
        <w:t>管理制度健全性：</w:t>
      </w:r>
      <w:r>
        <w:rPr>
          <w:rFonts w:hint="eastAsia" w:ascii="仿宋_GB2312" w:hAnsi="仿宋_GB2312" w:eastAsia="仿宋_GB2312" w:cs="仿宋_GB2312"/>
          <w:color w:val="000000"/>
          <w:kern w:val="0"/>
          <w:sz w:val="32"/>
          <w:szCs w:val="32"/>
          <w:lang w:val="en-US" w:eastAsia="zh-CN" w:bidi="ar"/>
        </w:rPr>
        <w:t>该项目严格按照《新疆维吾尔自治区地质环境监测研究院财务制度》</w:t>
      </w:r>
      <w:r>
        <w:rPr>
          <w:rFonts w:hint="eastAsia" w:ascii="仿宋_GB2312" w:hAnsi="仿宋_GB2312" w:eastAsia="仿宋_GB2312" w:cs="仿宋_GB2312"/>
          <w:sz w:val="32"/>
          <w:szCs w:val="32"/>
          <w:highlight w:val="none"/>
          <w:lang w:val="en-US" w:eastAsia="zh-CN"/>
        </w:rPr>
        <w:t>及国家级地质遗迹保护专项资金管理办法</w:t>
      </w:r>
      <w:r>
        <w:rPr>
          <w:rFonts w:hint="eastAsia" w:ascii="仿宋_GB2312" w:hAnsi="仿宋_GB2312" w:eastAsia="仿宋_GB2312" w:cs="仿宋_GB2312"/>
          <w:sz w:val="32"/>
          <w:szCs w:val="32"/>
          <w:highlight w:val="none"/>
        </w:rPr>
        <w:t>相关的制度和管理规定</w:t>
      </w:r>
      <w:r>
        <w:rPr>
          <w:rFonts w:hint="eastAsia" w:ascii="仿宋_GB2312" w:hAnsi="仿宋_GB2312" w:eastAsia="仿宋_GB2312" w:cs="仿宋_GB2312"/>
          <w:color w:val="000000"/>
          <w:kern w:val="0"/>
          <w:sz w:val="32"/>
          <w:szCs w:val="32"/>
          <w:lang w:val="en-US" w:eastAsia="zh-CN" w:bidi="ar"/>
        </w:rPr>
        <w:t>实施，</w:t>
      </w:r>
      <w:r>
        <w:rPr>
          <w:rFonts w:hint="eastAsia" w:ascii="仿宋_GB2312" w:hAnsi="仿宋_GB2312" w:eastAsia="仿宋_GB2312" w:cs="仿宋_GB2312"/>
          <w:sz w:val="32"/>
          <w:szCs w:val="32"/>
          <w:highlight w:val="none"/>
        </w:rPr>
        <w:t>对财政专项资金进行严格管理，基本做到了专款专用，根据评分标准，该指标不扣分，得2分。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方正仿宋_GBK" w:hAnsi="方正仿宋_GBK" w:eastAsia="方正仿宋_GBK" w:cs="方正仿宋_GBK"/>
          <w:b/>
          <w:bCs/>
          <w:sz w:val="28"/>
          <w:szCs w:val="28"/>
          <w:highlight w:val="none"/>
        </w:rPr>
        <w:t>（</w:t>
      </w:r>
      <w:r>
        <w:rPr>
          <w:rFonts w:hint="eastAsia" w:ascii="方正仿宋_GBK" w:hAnsi="方正仿宋_GBK" w:eastAsia="方正仿宋_GBK" w:cs="方正仿宋_GBK"/>
          <w:b/>
          <w:bCs/>
          <w:sz w:val="28"/>
          <w:szCs w:val="28"/>
          <w:highlight w:val="none"/>
          <w:lang w:val="en-US" w:eastAsia="zh-CN"/>
        </w:rPr>
        <w:t>2</w:t>
      </w:r>
      <w:r>
        <w:rPr>
          <w:rFonts w:hint="eastAsia" w:ascii="方正仿宋_GBK" w:hAnsi="方正仿宋_GBK" w:eastAsia="方正仿宋_GBK" w:cs="方正仿宋_GBK"/>
          <w:b/>
          <w:bCs/>
          <w:sz w:val="28"/>
          <w:szCs w:val="28"/>
          <w:highlight w:val="none"/>
        </w:rPr>
        <w:t>）制度执行有效性</w:t>
      </w:r>
      <w:r>
        <w:rPr>
          <w:rFonts w:hint="eastAsia" w:ascii="方正仿宋_GBK" w:hAnsi="方正仿宋_GBK" w:eastAsia="方正仿宋_GBK" w:cs="方正仿宋_GBK"/>
          <w:sz w:val="28"/>
          <w:szCs w:val="28"/>
          <w:highlight w:val="none"/>
        </w:rPr>
        <w:t>：</w:t>
      </w:r>
      <w:r>
        <w:rPr>
          <w:rFonts w:hint="eastAsia" w:ascii="仿宋_GB2312" w:hAnsi="仿宋_GB2312" w:eastAsia="仿宋_GB2312" w:cs="仿宋_GB2312"/>
          <w:kern w:val="2"/>
          <w:sz w:val="32"/>
          <w:szCs w:val="32"/>
          <w:highlight w:val="none"/>
          <w:lang w:val="en-US" w:eastAsia="zh-CN" w:bidi="ar-SA"/>
        </w:rPr>
        <w:t>由部门提出经费预算支出可行性方案，经过与财经领导小组沟通后，报局务会会议研究执行，财务对资金的使用合法合规性进行监督，年底对资金使用效果进行自评，根据评分标准，该指标不扣分，得3分。</w:t>
      </w:r>
    </w:p>
    <w:p>
      <w:pPr>
        <w:pStyle w:val="13"/>
        <w:pageBreakBefore w:val="0"/>
        <w:widowControl w:val="0"/>
        <w:kinsoku/>
        <w:wordWrap/>
        <w:overflowPunct/>
        <w:topLinePunct w:val="0"/>
        <w:autoSpaceDE/>
        <w:autoSpaceDN/>
        <w:bidi w:val="0"/>
        <w:adjustRightInd/>
        <w:snapToGrid/>
        <w:spacing w:before="0" w:after="0" w:line="480" w:lineRule="exact"/>
        <w:ind w:left="0" w:leftChars="0" w:firstLine="562" w:firstLine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（三）项目产出情况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项目产出类指标包括产出数量、产出质量、产出时效</w:t>
      </w:r>
      <w:r>
        <w:rPr>
          <w:rFonts w:hint="eastAsia" w:ascii="仿宋_GB2312" w:hAnsi="仿宋_GB2312" w:cs="仿宋_GB2312"/>
          <w:kern w:val="2"/>
          <w:sz w:val="32"/>
          <w:szCs w:val="32"/>
          <w:highlight w:val="none"/>
          <w:lang w:val="en-US" w:eastAsia="zh-CN" w:bidi="ar-SA"/>
        </w:rPr>
        <w:t>三个</w:t>
      </w:r>
      <w:r>
        <w:rPr>
          <w:rFonts w:hint="eastAsia" w:ascii="仿宋_GB2312" w:hAnsi="仿宋_GB2312" w:eastAsia="仿宋_GB2312" w:cs="仿宋_GB2312"/>
          <w:kern w:val="2"/>
          <w:sz w:val="32"/>
          <w:szCs w:val="32"/>
          <w:highlight w:val="none"/>
          <w:lang w:val="en-US" w:eastAsia="zh-CN" w:bidi="ar-SA"/>
        </w:rPr>
        <w:t>方面的内容，由三个三级指标构成，权重分为40分，实际得分40分，得分率为100%。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lang w:eastAsia="zh-CN"/>
        </w:rPr>
        <w:t>　　</w:t>
      </w:r>
      <w:r>
        <w:rPr>
          <w:rFonts w:hint="eastAsia" w:ascii="方正仿宋_GBK" w:hAnsi="方正仿宋_GBK" w:eastAsia="方正仿宋_GBK" w:cs="方正仿宋_GBK"/>
          <w:b/>
          <w:bCs/>
          <w:sz w:val="28"/>
          <w:szCs w:val="28"/>
          <w:highlight w:val="none"/>
        </w:rPr>
        <w:t>1.数量指标完成情况分析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“全疆古生物化石数据集数量”指标，预期指标值为1个，实际完成值为1个，指标完成率为100%,与预期目标一致，根据评分标准，该指标不扣分，得7分。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“化石产地调查数量”指标，预期指标值为大于等于5处，实际完成值为5处，指标完成率为100%，与预期目标一致，根据评分标准，该指标不扣分，得7分。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“组织开展交流研讨次数”指标，预期指标值为大于等于2次，实际完成值为2次，指标完成率为100%，与预期目标一致，根据评分标准，该指标不扣分，得7分。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合计得21分。</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ascii="仿宋_GB2312"/>
          <w:lang w:val="en-US" w:eastAsia="zh-CN"/>
        </w:rPr>
      </w:pPr>
      <w:r>
        <w:rPr>
          <w:rFonts w:hint="eastAsia" w:ascii="仿宋_GB2312"/>
          <w:lang w:val="en-US" w:eastAsia="zh-CN"/>
        </w:rPr>
        <w:t>2、</w:t>
      </w:r>
      <w:r>
        <w:rPr>
          <w:rFonts w:hint="eastAsia" w:ascii="方正仿宋_GBK" w:hAnsi="方正仿宋_GBK" w:eastAsia="方正仿宋_GBK" w:cs="方正仿宋_GBK"/>
          <w:b/>
          <w:bCs/>
          <w:sz w:val="28"/>
          <w:szCs w:val="28"/>
          <w:highlight w:val="none"/>
          <w:lang w:val="en-US" w:eastAsia="zh-CN"/>
        </w:rPr>
        <w:t>产出</w:t>
      </w:r>
      <w:r>
        <w:rPr>
          <w:rFonts w:hint="eastAsia" w:ascii="方正仿宋_GBK" w:hAnsi="方正仿宋_GBK" w:eastAsia="方正仿宋_GBK" w:cs="方正仿宋_GBK"/>
          <w:b/>
          <w:bCs/>
          <w:sz w:val="28"/>
          <w:szCs w:val="28"/>
          <w:highlight w:val="none"/>
        </w:rPr>
        <w:t>质量指标完成情况分析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“成果报告审查合格率”指标，预期指标值为等于100%，实际完成值为100%，指标完成率为100%与预期目标一致，根据评分标准，该指标不扣分，得9分。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合计得9分。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lang w:val="en-US" w:eastAsia="zh-CN"/>
        </w:rPr>
      </w:pPr>
      <w:r>
        <w:rPr>
          <w:rFonts w:hint="eastAsia" w:ascii="方正仿宋_GBK" w:hAnsi="方正仿宋_GBK" w:eastAsia="方正仿宋_GBK" w:cs="方正仿宋_GBK"/>
          <w:b/>
          <w:bCs/>
          <w:sz w:val="28"/>
          <w:szCs w:val="28"/>
          <w:highlight w:val="none"/>
          <w:lang w:val="en-US" w:eastAsia="zh-CN"/>
        </w:rPr>
        <w:t>3、产出时效</w:t>
      </w:r>
      <w:r>
        <w:rPr>
          <w:rFonts w:hint="eastAsia" w:ascii="方正仿宋_GBK" w:hAnsi="方正仿宋_GBK" w:eastAsia="方正仿宋_GBK" w:cs="方正仿宋_GBK"/>
          <w:b/>
          <w:bCs/>
          <w:sz w:val="28"/>
          <w:szCs w:val="28"/>
          <w:highlight w:val="none"/>
        </w:rPr>
        <w:t>指标完成情况分析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“野外调查完成时间”指标，预期指标值为2025年11月30日前,实际完成值为2025年8月25日，指标完成率为100%，，与预期目标一致，根据评分标准，该指标不扣分，得5分；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“成果报告完成时间”指标，预期指标值为2025年11月30日前,实际完成值为2025年11月30日，指标完成率为100%，与预期目标一致，根据评分标准，该指标不扣分，得5分；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合计得10分。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4、成本指标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本项目无该指标。</w:t>
      </w:r>
    </w:p>
    <w:p>
      <w:pPr>
        <w:pageBreakBefore w:val="0"/>
        <w:widowControl w:val="0"/>
        <w:numPr>
          <w:ilvl w:val="0"/>
          <w:numId w:val="2"/>
        </w:numPr>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项目效益情况</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项目效益类指标由1个二级指标和1个三级指标构成，权重分为20分，实际得分20分，得分率为100%。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lang w:val="en-US" w:eastAsia="zh-CN"/>
        </w:rPr>
        <w:t>1.</w:t>
      </w:r>
      <w:r>
        <w:rPr>
          <w:rFonts w:hint="eastAsia" w:ascii="方正仿宋_GBK" w:hAnsi="方正仿宋_GBK" w:eastAsia="方正仿宋_GBK" w:cs="方正仿宋_GBK"/>
          <w:b/>
          <w:bCs/>
          <w:sz w:val="28"/>
          <w:szCs w:val="28"/>
          <w:highlight w:val="none"/>
        </w:rPr>
        <w:t>经济效益完成情况分析：</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本项目无该指标。</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lang w:eastAsia="zh-CN"/>
        </w:rPr>
      </w:pPr>
      <w:r>
        <w:rPr>
          <w:rFonts w:hint="eastAsia" w:ascii="方正仿宋_GBK" w:hAnsi="方正仿宋_GBK" w:eastAsia="方正仿宋_GBK" w:cs="方正仿宋_GBK"/>
          <w:b/>
          <w:bCs/>
          <w:sz w:val="28"/>
          <w:szCs w:val="28"/>
          <w:highlight w:val="none"/>
          <w:lang w:val="en-US" w:eastAsia="zh-CN"/>
        </w:rPr>
        <w:t>2.</w:t>
      </w:r>
      <w:r>
        <w:rPr>
          <w:rFonts w:hint="eastAsia" w:ascii="方正仿宋_GBK" w:hAnsi="方正仿宋_GBK" w:eastAsia="方正仿宋_GBK" w:cs="方正仿宋_GBK"/>
          <w:b/>
          <w:bCs/>
          <w:sz w:val="28"/>
          <w:szCs w:val="28"/>
          <w:highlight w:val="none"/>
        </w:rPr>
        <w:t>社会效益完成情况分析</w:t>
      </w:r>
      <w:r>
        <w:rPr>
          <w:rFonts w:hint="eastAsia" w:ascii="方正仿宋_GBK" w:hAnsi="方正仿宋_GBK" w:eastAsia="方正仿宋_GBK" w:cs="方正仿宋_GBK"/>
          <w:b/>
          <w:bCs/>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“编制成果报告”指标，预期指标值为1份，指标完成率为1份，指标完成率为100%，与预期目标一致，根据评分标准，该指标不扣分，得20分；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合计得20分。</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lang w:eastAsia="zh-CN"/>
        </w:rPr>
        <w:t>3.生态效益完成情况分析</w:t>
      </w:r>
      <w:r>
        <w:rPr>
          <w:rFonts w:hint="eastAsia" w:ascii="方正仿宋_GBK" w:hAnsi="方正仿宋_GBK" w:eastAsia="方正仿宋_GBK" w:cs="方正仿宋_GBK"/>
          <w:b/>
          <w:bCs/>
          <w:sz w:val="28"/>
          <w:szCs w:val="28"/>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本项目无该指标。</w:t>
      </w:r>
    </w:p>
    <w:p>
      <w:pPr>
        <w:pageBreakBefore w:val="0"/>
        <w:widowControl w:val="0"/>
        <w:numPr>
          <w:ilvl w:val="0"/>
          <w:numId w:val="3"/>
        </w:numPr>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lang w:eastAsia="zh-CN"/>
        </w:rPr>
      </w:pPr>
      <w:r>
        <w:rPr>
          <w:rFonts w:hint="eastAsia" w:ascii="方正仿宋_GBK" w:hAnsi="方正仿宋_GBK" w:eastAsia="方正仿宋_GBK" w:cs="方正仿宋_GBK"/>
          <w:b/>
          <w:bCs/>
          <w:sz w:val="28"/>
          <w:szCs w:val="28"/>
          <w:highlight w:val="none"/>
        </w:rPr>
        <w:t>满意度指标完成情况</w:t>
      </w:r>
      <w:r>
        <w:rPr>
          <w:rFonts w:hint="eastAsia" w:ascii="方正仿宋_GBK" w:hAnsi="方正仿宋_GBK" w:eastAsia="方正仿宋_GBK" w:cs="方正仿宋_GBK"/>
          <w:b/>
          <w:bCs/>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本项目无该指标。</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ascii="黑体" w:hAnsi="黑体" w:eastAsia="黑体"/>
        </w:rPr>
      </w:pPr>
      <w:r>
        <w:rPr>
          <w:rFonts w:hint="eastAsia" w:ascii="黑体" w:hAnsi="黑体" w:eastAsia="黑体"/>
        </w:rPr>
        <w:t>五、主要经验及做法、存在的问题及原因分析</w:t>
      </w:r>
    </w:p>
    <w:p>
      <w:pPr>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bCs/>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（一）主要经验及做法</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kern w:val="2"/>
          <w:sz w:val="32"/>
          <w:szCs w:val="32"/>
          <w:highlight w:val="none"/>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b/>
          <w:bCs/>
          <w:color w:val="auto"/>
          <w:lang w:val="en-US" w:eastAsia="zh-CN"/>
        </w:rPr>
      </w:pPr>
      <w:r>
        <w:rPr>
          <w:rFonts w:hint="eastAsia" w:ascii="方正仿宋_GBK" w:hAnsi="方正仿宋_GBK" w:eastAsia="方正仿宋_GBK" w:cs="方正仿宋_GBK"/>
          <w:b/>
          <w:bCs/>
          <w:sz w:val="28"/>
          <w:szCs w:val="28"/>
          <w:highlight w:val="none"/>
          <w:lang w:val="en-US" w:eastAsia="zh-CN"/>
        </w:rPr>
        <w:t>（二）存在问题及原因分析</w:t>
      </w:r>
    </w:p>
    <w:p>
      <w:pPr>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default" w:ascii="方正仿宋_GBK" w:hAnsi="方正仿宋_GBK" w:eastAsia="方正仿宋_GBK" w:cs="方正仿宋_GBK"/>
          <w:b w:val="0"/>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1、存在问题</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绩效管理理念、知识体系更新迭代较慢。长期以来形成的以投入为导向的管理模式让人们仍将预算的编制和分配、执行情况作为重点，对支出过程及结果关注不够，重点关心资金执行率，对于资金使用与项目执行进度的关系没有正确的认识，认为资金在使用过程中只要能够合法合规，按计划完成任务就行，至于如何让资金使用效益最大化缺乏思考。</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绩效目标体系不完善。目前，对项目绩效目标、方向设立不够明确，资金分配和使用责任落实不到位；预算执行中缺乏相应的绩效运行跟踪监控措施，仅限于日常监控及执行进度监控；事后绩效评价分析不及时、不全面。</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评价指标设计相对单一。实际工作中，绩效指标设置较为粗放，指标权重的确定、定性指标的衡量等缺乏科学的方法。由于对绩效监控工作的认识不足，造成设定项目绩效评价指标很难反映真实的绩效情况，势必就造成了部分指标“形同虚设”，在绩效监控过程中，对绩效指标的衡量与评价就出现了偏差。</w:t>
      </w:r>
    </w:p>
    <w:p>
      <w:pPr>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方正仿宋_GBK" w:hAnsi="方正仿宋_GBK" w:eastAsia="方正仿宋_GBK" w:cs="方正仿宋_GBK"/>
          <w:b w:val="0"/>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2、问题产生的原因</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缺少专业的项目绩效监控管理人员。绩效监控工作涉及项目业务、财务、效益等方面知识，能全面掌握这些知识的人员较少，特别是能对效益方面进行较好评价的人员更加缺乏，导致项目绩效监控不及时、不到位。</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绩效监控管理制度不够完善。一是指标体系和评价方法不够完善。一方面是缺乏统一、科学、合理的预算绩效管理指标体系，导致绩效评价指标单一，设置粗放，部分指标不合理。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不能应用评价结果进行有效的预算绩效分析和改进。</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ascii="黑体" w:hAnsi="黑体" w:eastAsia="黑体"/>
        </w:rPr>
      </w:pPr>
      <w:r>
        <w:rPr>
          <w:rFonts w:hint="eastAsia" w:ascii="黑体" w:hAnsi="黑体" w:eastAsia="黑体"/>
        </w:rPr>
        <w:t>六、有关建议</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进一步加强对绩效管理工作的组织领导，提高对预算绩效管理工作重要性的认识，总结经验查找问题，完善绩效评价管理办法，建立绩效工作考核制度，加大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完善评价指标体系。结合绩效评价对象特点和绩效评价工作实际开展的需要，设计更加科学、合理的绩效指标，力求更加全面完整、客观真实地反映评价对象实施的绩效情况，突出项目特色，细化、量化绩效指标。</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2、加强人员安排。配备项目专职绩效管理人员，不断加强学习培训，通过各种形式的学习培训，提升人员自身的业务素质。</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注重宣传引导，营造推进绩效评价工作的良好氛围。积极采取措施，开展对绩效评价工作重要性的宣传。同时，调动各方面的积极性，善于利用各方面的力量，加强沟通联系，多听取意见，做好解释、说明工作，达到相互理解、配合和支持，形成共识，推动绩效评价工作的开展。</w:t>
      </w:r>
    </w:p>
    <w:p>
      <w:pPr>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ascii="黑体" w:hAnsi="黑体" w:eastAsia="黑体"/>
        </w:rPr>
      </w:pPr>
      <w:r>
        <w:rPr>
          <w:rFonts w:hint="eastAsia" w:ascii="黑体" w:hAnsi="黑体" w:eastAsia="黑体"/>
        </w:rPr>
        <w:t>七、其他需要说明的问题</w:t>
      </w:r>
    </w:p>
    <w:p>
      <w:pPr>
        <w:pStyle w:val="12"/>
        <w:keepNext w:val="0"/>
        <w:keepLines w:val="0"/>
        <w:pageBreakBefore w:val="0"/>
        <w:widowControl w:val="0"/>
        <w:kinsoku/>
        <w:wordWrap/>
        <w:overflowPunct/>
        <w:topLinePunct w:val="0"/>
        <w:autoSpaceDE/>
        <w:autoSpaceDN/>
        <w:bidi w:val="0"/>
        <w:adjustRightInd/>
        <w:snapToGrid/>
        <w:spacing w:line="480" w:lineRule="exact"/>
        <w:ind w:left="0" w:leftChars="0" w:firstLine="600" w:firstLineChars="200"/>
        <w:textAlignment w:val="auto"/>
        <w:rPr>
          <w:rFonts w:hint="eastAsia"/>
          <w:lang w:val="en-US" w:eastAsia="zh-CN"/>
        </w:rPr>
      </w:pPr>
      <w:r>
        <w:rPr>
          <w:rFonts w:hint="eastAsia"/>
          <w:lang w:val="en-US" w:eastAsia="zh-CN"/>
        </w:rPr>
        <w:t>无。</w:t>
      </w:r>
      <w:r>
        <w:rPr>
          <w:rFonts w:hint="eastAsia"/>
          <w:lang w:val="en-US" w:eastAsia="zh-CN"/>
        </w:rPr>
        <w:br w:type="textWrapping"/>
      </w:r>
    </w:p>
    <w:p>
      <w:pPr>
        <w:pStyle w:val="12"/>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0"/>
        <w:textAlignment w:val="auto"/>
        <w:rPr>
          <w:rFonts w:hint="eastAsia"/>
          <w:lang w:val="en-US" w:eastAsia="zh-CN"/>
        </w:rPr>
      </w:pPr>
    </w:p>
    <w:p>
      <w:pPr>
        <w:pStyle w:val="12"/>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0"/>
        <w:textAlignment w:val="auto"/>
        <w:rPr>
          <w:rFonts w:hint="eastAsia"/>
          <w:lang w:val="en-US" w:eastAsia="zh-CN"/>
        </w:rPr>
      </w:pPr>
    </w:p>
    <w:p>
      <w:pPr>
        <w:pStyle w:val="12"/>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0"/>
        <w:textAlignment w:val="auto"/>
        <w:rPr>
          <w:rFonts w:hint="eastAsia"/>
          <w:lang w:val="en-US" w:eastAsia="zh-CN"/>
        </w:rPr>
      </w:pPr>
    </w:p>
    <w:p>
      <w:pPr>
        <w:pStyle w:val="12"/>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0"/>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附件1：2025年度新疆地质遗迹国情调查与评价（古生物化石调查与评价）项目绩效评价指标体系及评分标准</w:t>
      </w:r>
    </w:p>
    <w:p>
      <w:pPr>
        <w:spacing w:line="600" w:lineRule="exact"/>
        <w:ind w:firstLine="600" w:firstLineChars="200"/>
        <w:rPr>
          <w:rFonts w:hint="eastAsia" w:eastAsia="仿宋_GB2312"/>
          <w:lang w:val="en-US" w:eastAsia="zh-CN"/>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225FA02-056D-414C-A9EB-5C4DB278B462}"/>
  </w:font>
  <w:font w:name="黑体">
    <w:panose1 w:val="02010609060101010101"/>
    <w:charset w:val="86"/>
    <w:family w:val="auto"/>
    <w:pitch w:val="default"/>
    <w:sig w:usb0="800002BF" w:usb1="38CF7CFA" w:usb2="00000016" w:usb3="00000000" w:csb0="00040001" w:csb1="00000000"/>
    <w:embedRegular r:id="rId2" w:fontKey="{D184E749-23E6-4D59-A403-E4710E9AF3C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348F917C-5AEA-402C-BE26-A5522CCDAFC9}"/>
  </w:font>
  <w:font w:name="Cambria">
    <w:panose1 w:val="02040503050406030204"/>
    <w:charset w:val="00"/>
    <w:family w:val="roman"/>
    <w:pitch w:val="default"/>
    <w:sig w:usb0="E00002FF" w:usb1="400004FF" w:usb2="0000000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中宋">
    <w:panose1 w:val="02010600040101010101"/>
    <w:charset w:val="86"/>
    <w:family w:val="auto"/>
    <w:pitch w:val="default"/>
    <w:sig w:usb0="00000000" w:usb1="00000000" w:usb2="00000000" w:usb3="00000000" w:csb0="00000000" w:csb1="00000000"/>
    <w:embedRegular r:id="rId4" w:fontKey="{742E882E-995D-40E7-BE62-7901491B99ED}"/>
  </w:font>
  <w:font w:name="微软雅黑">
    <w:panose1 w:val="020B0503020204020204"/>
    <w:charset w:val="86"/>
    <w:family w:val="auto"/>
    <w:pitch w:val="default"/>
    <w:sig w:usb0="80000287" w:usb1="280F3C52" w:usb2="00000016" w:usb3="00000000" w:csb0="0004001F" w:csb1="00000000"/>
    <w:embedRegular r:id="rId5" w:fontKey="{DB563305-5FAD-4594-AB62-A0A9D220E265}"/>
  </w:font>
  <w:font w:name="方正小标宋_GBK">
    <w:panose1 w:val="03000509000000000000"/>
    <w:charset w:val="86"/>
    <w:family w:val="script"/>
    <w:pitch w:val="default"/>
    <w:sig w:usb0="00000000" w:usb1="00000000" w:usb2="00000000" w:usb3="00000000" w:csb0="00000000" w:csb1="00000000"/>
    <w:embedRegular r:id="rId6" w:fontKey="{926B2AED-F204-4151-A81E-10961A33C32F}"/>
  </w:font>
  <w:font w:name="仿宋">
    <w:panose1 w:val="02010609060101010101"/>
    <w:charset w:val="86"/>
    <w:family w:val="modern"/>
    <w:pitch w:val="default"/>
    <w:sig w:usb0="800002BF" w:usb1="38CF7CFA" w:usb2="00000016" w:usb3="00000000" w:csb0="00040001" w:csb1="00000000"/>
    <w:embedRegular r:id="rId7" w:fontKey="{D4327582-37EF-4525-9E2E-407A996BAA9D}"/>
  </w:font>
  <w:font w:name="方正仿宋_GBK">
    <w:panose1 w:val="02000000000000000000"/>
    <w:charset w:val="86"/>
    <w:family w:val="script"/>
    <w:pitch w:val="default"/>
    <w:sig w:usb0="00000000" w:usb1="00000000" w:usb2="00000000" w:usb3="00000000" w:csb0="00000000" w:csb1="00000000"/>
    <w:embedRegular r:id="rId8" w:fontKey="{F1F90F9D-A274-4AD5-98FB-82C5E33A7B8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02CF27"/>
    <w:multiLevelType w:val="singleLevel"/>
    <w:tmpl w:val="A702CF27"/>
    <w:lvl w:ilvl="0" w:tentative="0">
      <w:start w:val="4"/>
      <w:numFmt w:val="chineseCounting"/>
      <w:suff w:val="nothing"/>
      <w:lvlText w:val="（%1）"/>
      <w:lvlJc w:val="left"/>
      <w:rPr>
        <w:rFonts w:hint="eastAsia"/>
      </w:rPr>
    </w:lvl>
  </w:abstractNum>
  <w:abstractNum w:abstractNumId="1">
    <w:nsid w:val="CAB7F1AC"/>
    <w:multiLevelType w:val="singleLevel"/>
    <w:tmpl w:val="CAB7F1AC"/>
    <w:lvl w:ilvl="0" w:tentative="0">
      <w:start w:val="4"/>
      <w:numFmt w:val="decimal"/>
      <w:lvlText w:val="%1."/>
      <w:lvlJc w:val="left"/>
      <w:pPr>
        <w:tabs>
          <w:tab w:val="left" w:pos="312"/>
        </w:tabs>
      </w:pPr>
    </w:lvl>
  </w:abstractNum>
  <w:abstractNum w:abstractNumId="2">
    <w:nsid w:val="FB7AC24D"/>
    <w:multiLevelType w:val="singleLevel"/>
    <w:tmpl w:val="FB7AC24D"/>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7A1D"/>
    <w:rsid w:val="00BC7757"/>
    <w:rsid w:val="00F2799B"/>
    <w:rsid w:val="02573246"/>
    <w:rsid w:val="029B44D3"/>
    <w:rsid w:val="02A67BEC"/>
    <w:rsid w:val="03BE360A"/>
    <w:rsid w:val="041B2008"/>
    <w:rsid w:val="042C3856"/>
    <w:rsid w:val="05345B6D"/>
    <w:rsid w:val="0552716B"/>
    <w:rsid w:val="058A1323"/>
    <w:rsid w:val="05F17DCE"/>
    <w:rsid w:val="063D244B"/>
    <w:rsid w:val="06A046EE"/>
    <w:rsid w:val="06FD4082"/>
    <w:rsid w:val="07F17513"/>
    <w:rsid w:val="08564BF9"/>
    <w:rsid w:val="08826D9F"/>
    <w:rsid w:val="094F7AAC"/>
    <w:rsid w:val="09E244F6"/>
    <w:rsid w:val="0A314FFA"/>
    <w:rsid w:val="0A883CD4"/>
    <w:rsid w:val="0C0D1E49"/>
    <w:rsid w:val="0E106210"/>
    <w:rsid w:val="0EC56247"/>
    <w:rsid w:val="0EE000F6"/>
    <w:rsid w:val="0EE632F1"/>
    <w:rsid w:val="0F781459"/>
    <w:rsid w:val="0F8A3E81"/>
    <w:rsid w:val="106B567E"/>
    <w:rsid w:val="108B22CA"/>
    <w:rsid w:val="10A976E1"/>
    <w:rsid w:val="11C25289"/>
    <w:rsid w:val="12583BA5"/>
    <w:rsid w:val="134E6A3B"/>
    <w:rsid w:val="13A9004F"/>
    <w:rsid w:val="145A7E72"/>
    <w:rsid w:val="15D454C6"/>
    <w:rsid w:val="172A220F"/>
    <w:rsid w:val="17835415"/>
    <w:rsid w:val="19006677"/>
    <w:rsid w:val="19193C38"/>
    <w:rsid w:val="1AC31A76"/>
    <w:rsid w:val="1BAA7F40"/>
    <w:rsid w:val="1BF93A5C"/>
    <w:rsid w:val="1DA05FD2"/>
    <w:rsid w:val="1DEC57A6"/>
    <w:rsid w:val="1E8F4FAF"/>
    <w:rsid w:val="1EAD1FE0"/>
    <w:rsid w:val="1F0B55D3"/>
    <w:rsid w:val="1F1A3993"/>
    <w:rsid w:val="1F5E1D29"/>
    <w:rsid w:val="203E4CF5"/>
    <w:rsid w:val="20757A1D"/>
    <w:rsid w:val="20D14525"/>
    <w:rsid w:val="212671F1"/>
    <w:rsid w:val="219168A1"/>
    <w:rsid w:val="22FD4100"/>
    <w:rsid w:val="235A5E8C"/>
    <w:rsid w:val="24053DA7"/>
    <w:rsid w:val="240663C6"/>
    <w:rsid w:val="250826D0"/>
    <w:rsid w:val="25330E2E"/>
    <w:rsid w:val="257873C3"/>
    <w:rsid w:val="25C042C4"/>
    <w:rsid w:val="268044BB"/>
    <w:rsid w:val="277C1DD4"/>
    <w:rsid w:val="28672484"/>
    <w:rsid w:val="288F0997"/>
    <w:rsid w:val="28CA642A"/>
    <w:rsid w:val="29BA4F5A"/>
    <w:rsid w:val="2A261D32"/>
    <w:rsid w:val="2A4A0BE6"/>
    <w:rsid w:val="2A4A44F0"/>
    <w:rsid w:val="2AAD3775"/>
    <w:rsid w:val="2AB3069D"/>
    <w:rsid w:val="2B002D1A"/>
    <w:rsid w:val="2BE92C98"/>
    <w:rsid w:val="2C4F7710"/>
    <w:rsid w:val="2CE675AA"/>
    <w:rsid w:val="2CEE6CC2"/>
    <w:rsid w:val="2D0D1776"/>
    <w:rsid w:val="2DB77DE4"/>
    <w:rsid w:val="3296439B"/>
    <w:rsid w:val="33843679"/>
    <w:rsid w:val="352E5F4D"/>
    <w:rsid w:val="35637F9E"/>
    <w:rsid w:val="36287465"/>
    <w:rsid w:val="36946B19"/>
    <w:rsid w:val="383C2774"/>
    <w:rsid w:val="3870051C"/>
    <w:rsid w:val="394D3FC3"/>
    <w:rsid w:val="39504729"/>
    <w:rsid w:val="3A5B3385"/>
    <w:rsid w:val="3B250B17"/>
    <w:rsid w:val="3B590554"/>
    <w:rsid w:val="3BFE407D"/>
    <w:rsid w:val="3C64516F"/>
    <w:rsid w:val="3C8A6140"/>
    <w:rsid w:val="3D566086"/>
    <w:rsid w:val="3E7D1B12"/>
    <w:rsid w:val="3EE44D3A"/>
    <w:rsid w:val="3F2D3F03"/>
    <w:rsid w:val="4038660B"/>
    <w:rsid w:val="41DD7C7C"/>
    <w:rsid w:val="42A163B6"/>
    <w:rsid w:val="4353792C"/>
    <w:rsid w:val="4428205E"/>
    <w:rsid w:val="453F3821"/>
    <w:rsid w:val="45574CCE"/>
    <w:rsid w:val="45EC0627"/>
    <w:rsid w:val="46876249"/>
    <w:rsid w:val="46D0233C"/>
    <w:rsid w:val="46D84B45"/>
    <w:rsid w:val="46DF533E"/>
    <w:rsid w:val="4826706B"/>
    <w:rsid w:val="487424BD"/>
    <w:rsid w:val="48AF154D"/>
    <w:rsid w:val="48D558E6"/>
    <w:rsid w:val="49035625"/>
    <w:rsid w:val="49C76797"/>
    <w:rsid w:val="4AB23A41"/>
    <w:rsid w:val="4AEE78FE"/>
    <w:rsid w:val="4CC254E6"/>
    <w:rsid w:val="4CD92CA6"/>
    <w:rsid w:val="4CF77C53"/>
    <w:rsid w:val="4D2F582F"/>
    <w:rsid w:val="4D922050"/>
    <w:rsid w:val="4E493D7D"/>
    <w:rsid w:val="4F9D1E71"/>
    <w:rsid w:val="508B0331"/>
    <w:rsid w:val="50A13EEF"/>
    <w:rsid w:val="50B13272"/>
    <w:rsid w:val="520F3BF8"/>
    <w:rsid w:val="532612B0"/>
    <w:rsid w:val="54166797"/>
    <w:rsid w:val="54B15980"/>
    <w:rsid w:val="55D20D7A"/>
    <w:rsid w:val="570F0CE3"/>
    <w:rsid w:val="572E1597"/>
    <w:rsid w:val="573243A8"/>
    <w:rsid w:val="58775B87"/>
    <w:rsid w:val="58C344FF"/>
    <w:rsid w:val="595219A0"/>
    <w:rsid w:val="5A2A7C7B"/>
    <w:rsid w:val="5A7E66D5"/>
    <w:rsid w:val="5B084200"/>
    <w:rsid w:val="5B707553"/>
    <w:rsid w:val="5BAC2376"/>
    <w:rsid w:val="5BBD5D60"/>
    <w:rsid w:val="5BDE5FB1"/>
    <w:rsid w:val="5CAC13C7"/>
    <w:rsid w:val="5CC91849"/>
    <w:rsid w:val="5D2F0028"/>
    <w:rsid w:val="5DB82D9D"/>
    <w:rsid w:val="5E246282"/>
    <w:rsid w:val="5E416835"/>
    <w:rsid w:val="5E56792A"/>
    <w:rsid w:val="5F6E5059"/>
    <w:rsid w:val="605B5EA1"/>
    <w:rsid w:val="60D6106E"/>
    <w:rsid w:val="61474825"/>
    <w:rsid w:val="62BC3405"/>
    <w:rsid w:val="63356726"/>
    <w:rsid w:val="64C34ADC"/>
    <w:rsid w:val="656E4DB4"/>
    <w:rsid w:val="660F6CFC"/>
    <w:rsid w:val="66572974"/>
    <w:rsid w:val="666A1995"/>
    <w:rsid w:val="66A25372"/>
    <w:rsid w:val="66AF21DF"/>
    <w:rsid w:val="672023BD"/>
    <w:rsid w:val="69E421A0"/>
    <w:rsid w:val="6ACC7244"/>
    <w:rsid w:val="6C300A85"/>
    <w:rsid w:val="6C737CFB"/>
    <w:rsid w:val="6D0914F3"/>
    <w:rsid w:val="6DFF2D05"/>
    <w:rsid w:val="6E8509E0"/>
    <w:rsid w:val="6EF701D4"/>
    <w:rsid w:val="6EFE104D"/>
    <w:rsid w:val="6F4155A5"/>
    <w:rsid w:val="6F9455FA"/>
    <w:rsid w:val="71501F58"/>
    <w:rsid w:val="729A7263"/>
    <w:rsid w:val="749F02E6"/>
    <w:rsid w:val="74E14BC9"/>
    <w:rsid w:val="75032589"/>
    <w:rsid w:val="750A13FE"/>
    <w:rsid w:val="759926FC"/>
    <w:rsid w:val="75A3300B"/>
    <w:rsid w:val="77356731"/>
    <w:rsid w:val="77446974"/>
    <w:rsid w:val="775A26DD"/>
    <w:rsid w:val="77CC7F28"/>
    <w:rsid w:val="782C28A7"/>
    <w:rsid w:val="79E22107"/>
    <w:rsid w:val="7AD1070A"/>
    <w:rsid w:val="7B234C91"/>
    <w:rsid w:val="7BC04ED5"/>
    <w:rsid w:val="7BCD09AD"/>
    <w:rsid w:val="7BD75C3F"/>
    <w:rsid w:val="7D925D0F"/>
    <w:rsid w:val="7DCA5D8C"/>
    <w:rsid w:val="7E4E42D6"/>
    <w:rsid w:val="7E7958A6"/>
    <w:rsid w:val="7FCB2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unhideWhenUsed/>
    <w:qFormat/>
    <w:uiPriority w:val="99"/>
    <w:rPr>
      <w:rFonts w:cs="Times New Roman"/>
      <w:kern w:val="0"/>
      <w:sz w:val="20"/>
      <w:szCs w:val="20"/>
    </w:rPr>
  </w:style>
  <w:style w:type="paragraph" w:styleId="4">
    <w:name w:val="Body Text"/>
    <w:basedOn w:val="1"/>
    <w:next w:val="5"/>
    <w:qFormat/>
    <w:uiPriority w:val="0"/>
    <w:pPr>
      <w:spacing w:before="240" w:after="240" w:line="360" w:lineRule="auto"/>
      <w:jc w:val="center"/>
    </w:pPr>
    <w:rPr>
      <w:b/>
      <w:sz w:val="44"/>
    </w:rPr>
  </w:style>
  <w:style w:type="paragraph" w:styleId="5">
    <w:name w:val="Body Text 2"/>
    <w:basedOn w:val="1"/>
    <w:qFormat/>
    <w:uiPriority w:val="0"/>
    <w:pPr>
      <w:spacing w:after="120" w:line="480" w:lineRule="auto"/>
    </w:pPr>
    <w:rPr>
      <w:rFonts w:ascii="Times New Roman" w:hAnsi="Times New Roman" w:eastAsia="宋体" w:cs="Times New Roman"/>
    </w:rPr>
  </w:style>
  <w:style w:type="paragraph" w:styleId="6">
    <w:name w:val="Body Text Indent"/>
    <w:basedOn w:val="1"/>
    <w:unhideWhenUsed/>
    <w:qFormat/>
    <w:uiPriority w:val="0"/>
    <w:pPr>
      <w:spacing w:after="120"/>
      <w:ind w:left="420" w:leftChars="200"/>
    </w:pPr>
  </w:style>
  <w:style w:type="paragraph" w:styleId="7">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8">
    <w:name w:val="Body Text First Indent 2"/>
    <w:basedOn w:val="6"/>
    <w:unhideWhenUsed/>
    <w:qFormat/>
    <w:uiPriority w:val="0"/>
    <w:pPr>
      <w:ind w:firstLine="420" w:firstLineChars="200"/>
    </w:pPr>
  </w:style>
  <w:style w:type="character" w:styleId="11">
    <w:name w:val="Strong"/>
    <w:basedOn w:val="10"/>
    <w:qFormat/>
    <w:uiPriority w:val="0"/>
    <w:rPr>
      <w:b/>
      <w:bCs/>
    </w:rPr>
  </w:style>
  <w:style w:type="paragraph" w:customStyle="1" w:styleId="12">
    <w:name w:val="闻政-正文段落文字"/>
    <w:basedOn w:val="1"/>
    <w:qFormat/>
    <w:uiPriority w:val="3"/>
    <w:pPr>
      <w:spacing w:line="500" w:lineRule="exact"/>
      <w:ind w:firstLine="200"/>
    </w:pPr>
    <w:rPr>
      <w:rFonts w:cs="Times New Roman"/>
      <w:kern w:val="0"/>
      <w:szCs w:val="28"/>
    </w:rPr>
  </w:style>
  <w:style w:type="paragraph" w:customStyle="1" w:styleId="13">
    <w:name w:val="闻政-正文二级标题"/>
    <w:basedOn w:val="2"/>
    <w:next w:val="12"/>
    <w:qFormat/>
    <w:uiPriority w:val="3"/>
    <w:pPr>
      <w:spacing w:before="120" w:after="60" w:line="500" w:lineRule="exact"/>
      <w:ind w:left="200" w:leftChars="200" w:firstLine="0" w:firstLineChars="0"/>
    </w:pPr>
    <w:rPr>
      <w:rFonts w:ascii="Times New Roman" w:hAnsi="Times New Roman"/>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2078</Words>
  <Characters>2142</Characters>
  <Lines>0</Lines>
  <Paragraphs>0</Paragraphs>
  <TotalTime>77</TotalTime>
  <ScaleCrop>false</ScaleCrop>
  <LinksUpToDate>false</LinksUpToDate>
  <CharactersWithSpaces>2164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Administrator</cp:lastModifiedBy>
  <cp:lastPrinted>2026-03-24T09:04:00Z</cp:lastPrinted>
  <dcterms:modified xsi:type="dcterms:W3CDTF">2026-08-12T09:49:08Z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FA95418AC3664A7899B59A3DBCB27420_13</vt:lpwstr>
  </property>
  <property fmtid="{D5CDD505-2E9C-101B-9397-08002B2CF9AE}" pid="4" name="KSOTemplateDocerSaveRecord">
    <vt:lpwstr>eyJoZGlkIjoiMzJlZWU3NGU0NThmOTM5NmU3ZDg2YWEyNTUzNTc2OWUiLCJ1c2VySWQiOiI1MjE0MjczNjMifQ==</vt:lpwstr>
  </property>
</Properties>
</file>